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UNIWERSYTET ________________</w:t>
      </w:r>
    </w:p>
    <w:p>
      <w:pPr>
        <w:pStyle w:val="Center"/>
      </w:pPr>
      <w:r>
        <w:t xml:space="preserve">Wydział Prawa i Administracji — Kierunek: Administracja</w:t>
      </w:r>
    </w:p>
    <w:p>
      <w:pPr>
        <w:pStyle w:val="Center"/>
      </w:pPr>
      <w:r>
        <w:rPr>
          <w:b/>
          <w:bCs/>
        </w:rPr>
        <w:t xml:space="preserve">Anna Nowak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Budżet obywatelski jako forma partycypacji mieszkańców w zarządzaniu gminą — regulacja prawna i praktyka wybranych miast</w:t>
      </w:r>
    </w:p>
    <w:p>
      <w:pPr>
        <w:pStyle w:val="Center"/>
      </w:pPr>
      <w:r>
        <w:t xml:space="preserve">Praca magisterska</w:t>
      </w:r>
    </w:p>
    <w:p>
      <w:pPr>
        <w:pStyle w:val="Center"/>
      </w:pPr>
      <w:r>
        <w:t xml:space="preserve">napisana pod kierunkiem</w:t>
      </w:r>
    </w:p>
    <w:p>
      <w:pPr>
        <w:pStyle w:val="Center"/>
      </w:pPr>
      <w:r>
        <w:t xml:space="preserve">dr. hab. ________________, prof. UŁ</w:t>
      </w:r>
    </w:p>
    <w:p>
      <w:pPr>
        <w:pStyle w:val="Center"/>
      </w:pPr>
      <w:r>
        <w:t xml:space="preserve">Łódź,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kompletny szkielet pracy magisterskiej z administracji łączącej</w:t>
      </w:r>
      <w:r>
        <w:t xml:space="preserve"> </w:t>
      </w:r>
      <w:r>
        <w:rPr>
          <w:b/>
          <w:bCs/>
        </w:rPr>
        <w:t xml:space="preserve">analizę dogmatyczno-prawną</w:t>
      </w:r>
      <w:r>
        <w:t xml:space="preserve"> </w:t>
      </w:r>
      <w:r>
        <w:t xml:space="preserve">(przepisy, doktryna, rozstrzygnięcia nadzorcze) z</w:t>
      </w:r>
      <w:r>
        <w:t xml:space="preserve"> </w:t>
      </w:r>
      <w:r>
        <w:rPr>
          <w:b/>
          <w:bCs/>
        </w:rPr>
        <w:t xml:space="preserve">analizą praktyki administracyjnej</w:t>
      </w:r>
      <w:r>
        <w:t xml:space="preserve"> </w:t>
      </w:r>
      <w:r>
        <w:t xml:space="preserve">(uchwały rad gmin, dokumenty urzędowe, dane o frekwencji). Takie połączenie jest znakiem rozpoznawczym dobrych prac z administracji — odróżnia je od prac czysto prawniczych. Niebieskie adnotacje opisują funkcję każdej części — usuń je w swojej pracy. Treść jest ilustracją: zweryfikuj aktualny stan prawny i dane.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t xml:space="preserve">Przedmiotem pracy jest budżet obywatelski jako szczególna forma konsultacji społecznych w gminie. Celem pracy jest ocena, w jakim stopniu obowiązująca regulacja art. 5a ustawy o samorządzie gminnym zapewnia mieszkańcom realny wpływ na wydatki gminy. W pracy postawiono tezę, że ustawowa konstrukcja budżetu obywatelskiego gwarantuje jego formalne funkcjonowanie w miastach na prawach powiatu, jednak o rzeczywistej jakości partycypacji rozstrzygają rozwiązania przyjmowane w uchwałach rad gmin. Zastosowano metodę dogmatyczno-prawną uzupełnioną analizą dokumentów urzędowych trzech miast (uchwały, raporty z ewaluacji, dane o frekwencji) za lata 2022–2025. Rozważania prowadzą do wniosków de lege lata i de lege ferenda oraz rekomendacji dla praktyki samorządowej.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budżet obywatelski, partycypacja społeczna, samorząd gminny, konsultacje społeczne, prawo administracyjne.</w:t>
      </w:r>
    </w:p>
    <w:p>
      <w:pPr>
        <w:pStyle w:val="Anno"/>
      </w:pPr>
      <w:r>
        <w:t xml:space="preserve">[Streszczenie pracy z administracji wskazuje przedmiot, cel, tezę, metody (tu: dwie!) i typ wniosków. Praca administracyjna często kończy się nie tylko wnioskami prawnymi, ale też rekomendacjami dla praktyki urzędów.]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Wykaz skrótów</w:t>
      </w:r>
      <w:r>
        <w:t xml:space="preserve"> </w:t>
      </w:r>
    </w:p>
    <w:p>
      <w:pPr>
        <w:pStyle w:val="Note"/>
      </w:pPr>
      <w:r>
        <w:t xml:space="preserve">Wstęp</w:t>
      </w:r>
      <w:r>
        <w:t xml:space="preserve"> </w:t>
      </w:r>
    </w:p>
    <w:p>
      <w:pPr>
        <w:pStyle w:val="Note"/>
      </w:pPr>
      <w:r>
        <w:t xml:space="preserve">Rozdział 1. Partycypacja społeczna w administracji publicznej</w:t>
      </w:r>
      <w:r>
        <w:t xml:space="preserve"> </w:t>
      </w:r>
    </w:p>
    <w:p>
      <w:pPr>
        <w:pStyle w:val="Note"/>
      </w:pPr>
      <w:r>
        <w:t xml:space="preserve">1.1. Pojęcie i formy partycypacji w zarządzaniu publicznym</w:t>
      </w:r>
      <w:r>
        <w:t xml:space="preserve"> </w:t>
      </w:r>
    </w:p>
    <w:p>
      <w:pPr>
        <w:pStyle w:val="Note"/>
      </w:pPr>
      <w:r>
        <w:t xml:space="preserve">1.2. Konsultacje społeczne w systemie prawa samorządowego</w:t>
      </w:r>
      <w:r>
        <w:t xml:space="preserve"> </w:t>
      </w:r>
    </w:p>
    <w:p>
      <w:pPr>
        <w:pStyle w:val="Note"/>
      </w:pPr>
      <w:r>
        <w:t xml:space="preserve">1.3. Geneza budżetu obywatelskiego i jego recepcja w Polsce</w:t>
      </w:r>
      <w:r>
        <w:t xml:space="preserve"> </w:t>
      </w:r>
    </w:p>
    <w:p>
      <w:pPr>
        <w:pStyle w:val="Note"/>
      </w:pPr>
      <w:r>
        <w:t xml:space="preserve">Rozdział 2. Budżet obywatelski w świetle obowiązującego prawa</w:t>
      </w:r>
      <w:r>
        <w:t xml:space="preserve"> </w:t>
      </w:r>
    </w:p>
    <w:p>
      <w:pPr>
        <w:pStyle w:val="Note"/>
      </w:pPr>
      <w:r>
        <w:t xml:space="preserve">2.1. Regulacja art. 5a ustawy o samorządzie gminnym</w:t>
      </w:r>
      <w:r>
        <w:t xml:space="preserve"> </w:t>
      </w:r>
    </w:p>
    <w:p>
      <w:pPr>
        <w:pStyle w:val="Note"/>
      </w:pPr>
      <w:r>
        <w:t xml:space="preserve">2.2. Obligatoryjność budżetu w miastach na prawach powiatu</w:t>
      </w:r>
      <w:r>
        <w:t xml:space="preserve"> </w:t>
      </w:r>
    </w:p>
    <w:p>
      <w:pPr>
        <w:pStyle w:val="Note"/>
      </w:pPr>
      <w:r>
        <w:t xml:space="preserve">2.3. Granice swobody regulacyjnej rady gminy i nadzór wojewody</w:t>
      </w:r>
      <w:r>
        <w:t xml:space="preserve"> </w:t>
      </w:r>
    </w:p>
    <w:p>
      <w:pPr>
        <w:pStyle w:val="Note"/>
      </w:pPr>
      <w:r>
        <w:t xml:space="preserve">Rozdział 3. Praktyka budżetu obywatelskiego w wybranych miastach</w:t>
      </w:r>
      <w:r>
        <w:t xml:space="preserve"> </w:t>
      </w:r>
    </w:p>
    <w:p>
      <w:pPr>
        <w:pStyle w:val="Note"/>
      </w:pPr>
      <w:r>
        <w:t xml:space="preserve">3.1. Kryteria doboru miast i materiał badawczy</w:t>
      </w:r>
      <w:r>
        <w:t xml:space="preserve"> </w:t>
      </w:r>
    </w:p>
    <w:p>
      <w:pPr>
        <w:pStyle w:val="Note"/>
      </w:pPr>
      <w:r>
        <w:t xml:space="preserve">3.2. Porównanie procedur: zgłaszanie, weryfikacja, głosowanie</w:t>
      </w:r>
      <w:r>
        <w:t xml:space="preserve"> </w:t>
      </w:r>
    </w:p>
    <w:p>
      <w:pPr>
        <w:pStyle w:val="Note"/>
      </w:pPr>
      <w:r>
        <w:t xml:space="preserve">3.3. Frekwencja i struktura wybieranych projektów</w:t>
      </w:r>
      <w:r>
        <w:t xml:space="preserve"> </w:t>
      </w:r>
    </w:p>
    <w:p>
      <w:pPr>
        <w:pStyle w:val="Note"/>
      </w:pPr>
      <w:r>
        <w:t xml:space="preserve">3.4. Ocena rozwiązań proceduralnych z perspektywy mieszkańca</w:t>
      </w:r>
      <w:r>
        <w:t xml:space="preserve"> </w:t>
      </w:r>
    </w:p>
    <w:p>
      <w:pPr>
        <w:pStyle w:val="Note"/>
      </w:pPr>
      <w:r>
        <w:t xml:space="preserve">Zakończenie — wnioski i rekomendacje</w:t>
      </w:r>
      <w:r>
        <w:t xml:space="preserve"> </w:t>
      </w:r>
    </w:p>
    <w:p>
      <w:pPr>
        <w:pStyle w:val="Note"/>
      </w:pPr>
      <w:r>
        <w:t xml:space="preserve">Wykaz literatury · Wykaz aktów prawnych · Wykaz innych źródeł</w:t>
      </w:r>
      <w:r>
        <w:t xml:space="preserve"> </w:t>
      </w:r>
    </w:p>
    <w:bookmarkEnd w:id="21"/>
    <w:bookmarkStart w:id="22" w:name="wstęp"/>
    <w:p>
      <w:pPr>
        <w:pStyle w:val="Heading1"/>
      </w:pPr>
      <w:r>
        <w:t xml:space="preserve">Wstęp</w:t>
      </w:r>
    </w:p>
    <w:p>
      <w:pPr>
        <w:pStyle w:val="Anno"/>
      </w:pPr>
      <w:r>
        <w:t xml:space="preserve">[Akapit 1 — wprowadzenie w problem i jego znaczenie dla administracji publicznej.]</w:t>
      </w:r>
    </w:p>
    <w:p>
      <w:pPr>
        <w:pStyle w:val="BodyText"/>
      </w:pPr>
      <w:r>
        <w:t xml:space="preserve">Współczesna administracja publiczna coraz częściej sięga po instrumenty włączające mieszkańców w procesy decyzyjne. Budżet obywatelski, wywodzący się z brazylijskiego Porto Alegre, stał się w Polsce najbardziej rozpoznawalną formą partycypacji na poziomie lokalnym: mieszkańcy corocznie decydują w bezpośrednim głosowaniu o przeznaczeniu części wydatków gminy. Od nowelizacji ustrojowych ustaw samorządowych z 2018 roku budżet obywatelski ma umocowanie ustawowe, a w miastach na prawach powiatu jest obowiązkowy.</w:t>
      </w:r>
    </w:p>
    <w:p>
      <w:pPr>
        <w:pStyle w:val="Anno"/>
      </w:pPr>
      <w:r>
        <w:t xml:space="preserve">[Akapit 2 — przedmiot, cel i TEZA. W pracy z administracji, podobnie jak w prawniczej, stawia się tezę — ale można ją uzupełnić pytaniami badawczymi do części empirycznej.]</w:t>
      </w:r>
    </w:p>
    <w:p>
      <w:pPr>
        <w:pStyle w:val="BodyText"/>
      </w:pPr>
      <w:r>
        <w:t xml:space="preserve">Przedmiotem pracy jest instytucja budżetu obywatelskiego w ujęciu prawnym i praktycznym. Celem pracy jest ocena, w jakim stopniu regulacja art. 5a ustawy o samorządzie gminnym zapewnia mieszkańcom realny wpływ na wydatki gminy. W pracy postawiono tezę, że ustawa gwarantuje jedynie formalne ramy partycypacji, natomiast o jej rzeczywistej jakości rozstrzygają rozwiązania proceduralne przyjmowane w uchwałach rad gmin. Części empirycznej towarzyszą pytania badawcze: jak badane miasta ukształtowały procedury zgłaszania i weryfikacji projektów oraz jak kształtuje się frekwencja w głosowaniach.</w:t>
      </w:r>
    </w:p>
    <w:p>
      <w:pPr>
        <w:pStyle w:val="Anno"/>
      </w:pPr>
      <w:r>
        <w:t xml:space="preserve">[Akapit 3 — metody i struktura. Znak rozpoznawczy prac z administracji: połączenie metody dogmatyczno-prawnej z analizą dokumentów urzędowych lub danych o działaniu administracji.]</w:t>
      </w:r>
    </w:p>
    <w:p>
      <w:pPr>
        <w:pStyle w:val="BodyText"/>
      </w:pPr>
      <w:r>
        <w:t xml:space="preserve">W pracy zastosowano dwie uzupełniające się metody. Rozdziały pierwszy i drugi opierają się na metodzie dogmatyczno-prawnej: analizie przepisów, poglądów doktryny i rozstrzygnięć nadzorczych. Rozdział trzeci wykorzystuje metodę analizy dokumentów urzędowych — uchwał rad miast, raportów ewaluacyjnych i danych o frekwencji publikowanych przez urzędy trzech celowo dobranych miast za lata 2022–2025.</w:t>
      </w:r>
    </w:p>
    <w:bookmarkEnd w:id="22"/>
    <w:bookmarkStart w:id="29" w:name="X833cb25d3878032e6fe07955f5240c0f6581fc7"/>
    <w:p>
      <w:pPr>
        <w:pStyle w:val="Heading1"/>
      </w:pPr>
      <w:r>
        <w:t xml:space="preserve">Rozdział 2. Budżet obywatelski w świetle obowiązującego prawa</w:t>
      </w:r>
    </w:p>
    <w:bookmarkStart w:id="24" w:name="X4696d7c542a0331709b4da79439056fb984e4b1"/>
    <w:p>
      <w:pPr>
        <w:pStyle w:val="Heading2"/>
      </w:pPr>
      <w:r>
        <w:t xml:space="preserve">2.1. Regulacja art. 5a ustawy o samorządzie gminnym</w:t>
      </w:r>
    </w:p>
    <w:p>
      <w:pPr>
        <w:pStyle w:val="FirstParagraph"/>
      </w:pPr>
      <w:r>
        <w:t xml:space="preserve">Budżet obywatelski został uregulowany jako szczególna forma konsultacji społecznych. Zgodnie z art. 5a ust. 3 ustawy o samorządzie gminnym</w:t>
      </w:r>
      <w:r>
        <w:rPr>
          <w:rStyle w:val="FootnoteReference"/>
        </w:rPr>
        <w:footnoteReference w:id="23"/>
      </w:r>
      <w:r>
        <w:t xml:space="preserve"> </w:t>
      </w:r>
      <w:r>
        <w:t xml:space="preserve">mieszkańcy w bezpośrednim głosowaniu decydują corocznie o części wydatków budżetu gminy, a zadania wybrane w ramach budżetu obywatelskiego zostają uwzględnione w uchwale budżetowej. Rada gminy nie może usuwać ani zmieniać w stopniu istotnym zadań wybranych przez mieszkańców.</w:t>
      </w:r>
    </w:p>
    <w:p>
      <w:pPr>
        <w:pStyle w:val="Anno"/>
      </w:pPr>
      <w:r>
        <w:t xml:space="preserve">[Cytowanie aktu prawnego w przypisie: pełna nazwa, data, publikator. W tekście po pierwszym pełnym przywołaniu używaj skrótu (u.s.g.). Zwróć uwagę, że praca administracyjna cytuje też uchwały organów gminy — wzór w przypisie 3.]</w:t>
      </w:r>
    </w:p>
    <w:bookmarkEnd w:id="24"/>
    <w:bookmarkStart w:id="26" w:name="X8db29dd496caeffcb3700c619cd177cd52fd48d"/>
    <w:p>
      <w:pPr>
        <w:pStyle w:val="Heading2"/>
      </w:pPr>
      <w:r>
        <w:t xml:space="preserve">2.2. Obligatoryjność budżetu w miastach na prawach powiatu</w:t>
      </w:r>
    </w:p>
    <w:p>
      <w:pPr>
        <w:pStyle w:val="FirstParagraph"/>
      </w:pPr>
      <w:r>
        <w:t xml:space="preserve">W gminach będących miastami na prawach powiatu utworzenie budżetu obywatelskiego jest obowiązkowe, a jego wysokość wynosi co najmniej 0,5% wydatków gminy zawartych w ostatnim przedłożonym sprawozdaniu z wykonania budżetu (art. 5a ust. 5 u.s.g.). Ustawodawca przesądził zatem minimalny standard partycypacji w największych gminach, pozostawiając pozostałym swobodę decyzji. W doktrynie wskazuje się, że rozwiązanie to tworzy dwie kategorie mieszkańców o odmiennym zakresie uprawnień partycypacyjnych.</w:t>
      </w:r>
      <w:r>
        <w:rPr>
          <w:rStyle w:val="FootnoteReference"/>
        </w:rPr>
        <w:footnoteReference w:id="25"/>
      </w:r>
    </w:p>
    <w:bookmarkEnd w:id="26"/>
    <w:bookmarkStart w:id="28" w:name="X7a4cb5854913a6f9a2ce82a91ba957b8b2d637e"/>
    <w:p>
      <w:pPr>
        <w:pStyle w:val="Heading2"/>
      </w:pPr>
      <w:r>
        <w:t xml:space="preserve">2.3. Granice swobody regulacyjnej rady gminy i nadzór wojewody</w:t>
      </w:r>
    </w:p>
    <w:p>
      <w:pPr>
        <w:pStyle w:val="FirstParagraph"/>
      </w:pPr>
      <w:r>
        <w:t xml:space="preserve">Wymagania, jakie powinien spełniać projekt budżetu obywatelskiego, określa rada gminy w uchwale. Swoboda ta nie jest jednak nieograniczona: uchwały rad podlegają nadzorowi wojewody, a w orzecznictwie sądów administracyjnych kwestionowano m.in. wymóg poparcia projektu podpisami nadmiernej liczby mieszkańców czy ograniczenie prawa głosu do osób zameldowanych.</w:t>
      </w:r>
      <w:r>
        <w:rPr>
          <w:rStyle w:val="FootnoteReference"/>
        </w:rPr>
        <w:footnoteReference w:id="27"/>
      </w:r>
    </w:p>
    <w:p>
      <w:pPr>
        <w:pStyle w:val="Anno"/>
      </w:pPr>
      <w:r>
        <w:t xml:space="preserve">[W rozdziale analitycznym prowadź wywód: przepis → doktryna → praktyka nadzorcza i orzecznicza → własna ocena. Rozstrzygnięcia nadzorcze wojewodów i wyroki WSA/NSA to materiał badawczy charakterystyczny dla administracji.]</w:t>
      </w:r>
    </w:p>
    <w:bookmarkEnd w:id="28"/>
    <w:bookmarkEnd w:id="29"/>
    <w:bookmarkStart w:id="32" w:name="Xa6e88d4c5fd1aadca786933bef8dcadeeb87e62"/>
    <w:p>
      <w:pPr>
        <w:pStyle w:val="Heading1"/>
      </w:pPr>
      <w:r>
        <w:t xml:space="preserve">Rozdział 3. Praktyka budżetu obywatelskiego w wybranych miastach</w:t>
      </w:r>
    </w:p>
    <w:bookmarkStart w:id="30" w:name="Xb4f6e1e50246b5fd708095a53dec4cd28e70f2d"/>
    <w:p>
      <w:pPr>
        <w:pStyle w:val="Heading2"/>
      </w:pPr>
      <w:r>
        <w:t xml:space="preserve">3.1. Kryteria doboru miast i materiał badawczy</w:t>
      </w:r>
    </w:p>
    <w:p>
      <w:pPr>
        <w:pStyle w:val="FirstParagraph"/>
      </w:pPr>
      <w:r>
        <w:t xml:space="preserve">Do analizy dobrano celowo trzy miasta na prawach powiatu zróżnicowane pod względem wielkości: A (ok. 700 tys. mieszkańców), B (ok. 200 tys.) i C (ok. 100 tys.). Materiał badawczy objął: uchwały rad miast w sprawie wymagań dla projektów budżetu obywatelskiego, regulaminy i harmonogramy edycji 2022–2025, raporty ewaluacyjne urzędów oraz publikowane dane o liczbie zgłoszonych projektów i frekwencji w głosowaniach.</w:t>
      </w:r>
    </w:p>
    <w:p>
      <w:pPr>
        <w:pStyle w:val="Anno"/>
      </w:pPr>
      <w:r>
        <w:t xml:space="preserve">[Część empiryczna pracy z administracji NIE wymaga ankiety. Analiza dokumentów urzędowych — uchwał, regulaminów, sprawozdań, danych BIP — jest pełnoprawnym badaniem, o ile ma jawne kryteria doboru i porównania. Opisz materiał tak, żeby dało się badanie powtórzyć.]</w:t>
      </w:r>
    </w:p>
    <w:bookmarkEnd w:id="30"/>
    <w:bookmarkStart w:id="31" w:name="X93e75aa30e702498ef9814f3029049f618b6a33"/>
    <w:p>
      <w:pPr>
        <w:pStyle w:val="Heading2"/>
      </w:pPr>
      <w:r>
        <w:t xml:space="preserve">3.2. Porównanie procedur: zgłaszanie, weryfikacja, głosowanie</w:t>
      </w:r>
    </w:p>
    <w:p>
      <w:pPr>
        <w:pStyle w:val="FirstParagraph"/>
      </w:pPr>
      <w:r>
        <w:t xml:space="preserve">Porównanie regulaminów ujawnia istotne różnice proceduralne. Miasto A wymaga poparcia projektu podpisami 40 mieszkańców, miasto B — 15, a miasto C nie stawia takiego wymogu. Zróżnicowany jest także tryb odwołania od negatywnej weryfikacji projektu: od pełnej procedury odwoławczej z uzasadnieniem (A) po brak formalnej ścieżki (C). Głosowanie we wszystkich miastach odbywa się elektronicznie, przy czym tylko miasto B utrzymało równoległe punkty głosowania papierowego.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Element procedury</w:t>
            </w:r>
          </w:p>
        </w:tc>
        <w:tc>
          <w:tcPr/>
          <w:p>
            <w:pPr>
              <w:pStyle w:val="Compact"/>
            </w:pPr>
            <w:r>
              <w:t xml:space="preserve">Miasto A</w:t>
            </w:r>
          </w:p>
        </w:tc>
        <w:tc>
          <w:tcPr/>
          <w:p>
            <w:pPr>
              <w:pStyle w:val="Compact"/>
            </w:pPr>
            <w:r>
              <w:t xml:space="preserve">Miasto B</w:t>
            </w:r>
          </w:p>
        </w:tc>
        <w:tc>
          <w:tcPr/>
          <w:p>
            <w:pPr>
              <w:pStyle w:val="Compact"/>
            </w:pPr>
            <w:r>
              <w:t xml:space="preserve">Miasto C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Podpisy poparcia</w:t>
            </w:r>
          </w:p>
        </w:tc>
        <w:tc>
          <w:tcPr/>
          <w:p>
            <w:pPr>
              <w:pStyle w:val="Compac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brak</w:t>
            </w:r>
          </w:p>
        </w:tc>
      </w:tr>
      <w:tr>
        <w:tc>
          <w:tcPr/>
          <w:p>
            <w:pPr>
              <w:pStyle w:val="Compact"/>
            </w:pPr>
            <w:r>
              <w:t xml:space="preserve">Odwołanie od weryfikacji</w:t>
            </w:r>
          </w:p>
        </w:tc>
        <w:tc>
          <w:tcPr/>
          <w:p>
            <w:pPr>
              <w:pStyle w:val="Compact"/>
            </w:pPr>
            <w:r>
              <w:t xml:space="preserve">tak, z uzasadnieniem</w:t>
            </w:r>
          </w:p>
        </w:tc>
        <w:tc>
          <w:tcPr/>
          <w:p>
            <w:pPr>
              <w:pStyle w:val="Compact"/>
            </w:pPr>
            <w:r>
              <w:t xml:space="preserve">tak</w:t>
            </w:r>
          </w:p>
        </w:tc>
        <w:tc>
          <w:tcPr/>
          <w:p>
            <w:pPr>
              <w:pStyle w:val="Compact"/>
            </w:pPr>
            <w:r>
              <w:t xml:space="preserve">brak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Głosowanie papierowe</w:t>
            </w:r>
          </w:p>
        </w:tc>
        <w:tc>
          <w:tcPr/>
          <w:p>
            <w:pPr>
              <w:pStyle w:val="Compact"/>
            </w:pPr>
            <w:r>
              <w:t xml:space="preserve">nie</w:t>
            </w:r>
          </w:p>
        </w:tc>
        <w:tc>
          <w:tcPr/>
          <w:p>
            <w:pPr>
              <w:pStyle w:val="Compact"/>
            </w:pPr>
            <w:r>
              <w:t xml:space="preserve">tak</w:t>
            </w:r>
          </w:p>
        </w:tc>
        <w:tc>
          <w:tcPr/>
          <w:p>
            <w:pPr>
              <w:pStyle w:val="Compact"/>
            </w:pPr>
            <w:r>
              <w:t xml:space="preserve">nie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Frekwencja 2025</w:t>
            </w:r>
          </w:p>
        </w:tc>
        <w:tc>
          <w:tcPr/>
          <w:p>
            <w:pPr>
              <w:pStyle w:val="Compact"/>
            </w:pPr>
            <w:r>
              <w:t xml:space="preserve">8,4%</w:t>
            </w:r>
          </w:p>
        </w:tc>
        <w:tc>
          <w:tcPr/>
          <w:p>
            <w:pPr>
              <w:pStyle w:val="Compact"/>
            </w:pPr>
            <w:r>
              <w:t xml:space="preserve">12,1%</w:t>
            </w:r>
          </w:p>
        </w:tc>
        <w:tc>
          <w:tcPr/>
          <w:p>
            <w:pPr>
              <w:pStyle w:val="Compact"/>
            </w:pPr>
            <w:r>
              <w:t xml:space="preserve">6,9%</w:t>
            </w:r>
          </w:p>
        </w:tc>
      </w:tr>
    </w:tbl>
    <w:p>
      <w:pPr>
        <w:pStyle w:val="Anno"/>
      </w:pPr>
      <w:r>
        <w:t xml:space="preserve">[Tabela porównawcza to najmocniejsze narzędzie tej części — pokazuje różnice na jeden rzut oka i daje podstawę do oceny w podrozdziale 3.4. Dane w tym wzorze są fikcyjne; w pracy podaj rzeczywiste, z przypisem do źródła (BIP, raport urzędu).]</w:t>
      </w:r>
    </w:p>
    <w:bookmarkEnd w:id="31"/>
    <w:bookmarkEnd w:id="32"/>
    <w:bookmarkStart w:id="33" w:name="zakończenie-wnioski-i-rekomendacje"/>
    <w:p>
      <w:pPr>
        <w:pStyle w:val="Heading1"/>
      </w:pPr>
      <w:r>
        <w:t xml:space="preserve">Zakończenie — wnioski i rekomendacje</w:t>
      </w:r>
    </w:p>
    <w:p>
      <w:pPr>
        <w:pStyle w:val="Anno"/>
      </w:pPr>
      <w:r>
        <w:t xml:space="preserve">[Zakończenie pracy z administracji ma zwykle TRZY warstwy: de lege lata (ocena prawa), de lege ferenda (postulaty zmian przepisów) i rekomendacje dla praktyki (co mogą poprawić urzędy w ramach obecnego prawa). Ta trzecia warstwa wyróżnia administrację na tle prawa.]</w:t>
      </w:r>
    </w:p>
    <w:p>
      <w:pPr>
        <w:pStyle w:val="BodyText"/>
      </w:pPr>
      <w:r>
        <w:rPr>
          <w:b/>
          <w:bCs/>
        </w:rPr>
        <w:t xml:space="preserve">De lege lata.</w:t>
      </w:r>
      <w:r>
        <w:t xml:space="preserve"> </w:t>
      </w:r>
      <w:r>
        <w:t xml:space="preserve">Analiza potwierdza tezę pracy: art. 5a u.s.g. przesądza istnienie budżetu obywatelskiego w miastach na prawach powiatu i jego minimalną wysokość, jednak o dostępności procedury dla mieszkańca decydują rozwiązania uchwał rad gmin, które w badanych miastach różnią się zasadniczo.</w:t>
      </w:r>
    </w:p>
    <w:p>
      <w:pPr>
        <w:pStyle w:val="BodyText"/>
      </w:pPr>
      <w:r>
        <w:rPr>
          <w:b/>
          <w:bCs/>
        </w:rPr>
        <w:t xml:space="preserve">De lege ferenda.</w:t>
      </w:r>
      <w:r>
        <w:t xml:space="preserve"> </w:t>
      </w:r>
      <w:r>
        <w:t xml:space="preserve">Zasadne byłoby ustawowe określenie minimalnych standardów procedury — w szczególności prawa do odwołania od negatywnej weryfikacji projektu, które obecnie zależy od woli rady gminy.</w:t>
      </w:r>
    </w:p>
    <w:p>
      <w:pPr>
        <w:pStyle w:val="BodyText"/>
      </w:pPr>
      <w:r>
        <w:rPr>
          <w:b/>
          <w:bCs/>
        </w:rPr>
        <w:t xml:space="preserve">Rekomendacje dla praktyki.</w:t>
      </w:r>
      <w:r>
        <w:t xml:space="preserve"> </w:t>
      </w:r>
      <w:r>
        <w:t xml:space="preserve">Miastu C rekomenduje się wprowadzenie formalnej ścieżki odwoławczej oraz przywrócenie punktów głosowania papierowego, co w mieście B współwystępuje z najwyższą frekwencją w badanej grupie.</w:t>
      </w:r>
    </w:p>
    <w:bookmarkEnd w:id="33"/>
    <w:bookmarkStart w:id="34" w:name="wykaz-literatury"/>
    <w:p>
      <w:pPr>
        <w:pStyle w:val="Heading1"/>
      </w:pPr>
      <w:r>
        <w:t xml:space="preserve">Wykaz literatury</w:t>
      </w:r>
    </w:p>
    <w:p>
      <w:pPr>
        <w:pStyle w:val="Anno"/>
      </w:pPr>
      <w:r>
        <w:t xml:space="preserve">[Praca z administracji dzieli źródła na wykazy jak praca prawnicza, z tym że zamiast wykazu orzecznictwa często pojawia się szerszy „wykaz innych źródeł”: uchwały, raporty, dokumenty urzędowe, strony BIP.]</w:t>
      </w:r>
    </w:p>
    <w:p>
      <w:pPr>
        <w:pStyle w:val="Compact"/>
        <w:numPr>
          <w:ilvl w:val="0"/>
          <w:numId w:val="1001"/>
        </w:numPr>
      </w:pPr>
      <w:r>
        <w:t xml:space="preserve">Dolnicki B. (red.),</w:t>
      </w:r>
      <w:r>
        <w:t xml:space="preserve"> </w:t>
      </w:r>
      <w:r>
        <w:rPr>
          <w:i/>
          <w:iCs/>
        </w:rPr>
        <w:t xml:space="preserve">Ustawa o samorządzie gminnym. Komentarz</w:t>
      </w:r>
      <w:r>
        <w:t xml:space="preserve">, Warszawa 2021.</w:t>
      </w:r>
    </w:p>
    <w:p>
      <w:pPr>
        <w:pStyle w:val="Compact"/>
        <w:numPr>
          <w:ilvl w:val="0"/>
          <w:numId w:val="1001"/>
        </w:numPr>
      </w:pPr>
      <w:r>
        <w:t xml:space="preserve">Izdebski H.,</w:t>
      </w:r>
      <w:r>
        <w:t xml:space="preserve"> </w:t>
      </w:r>
      <w:r>
        <w:rPr>
          <w:i/>
          <w:iCs/>
        </w:rPr>
        <w:t xml:space="preserve">Samorząd terytorialny. Pionowy podział władzy</w:t>
      </w:r>
      <w:r>
        <w:t xml:space="preserve">, Warszawa 2020.</w:t>
      </w:r>
    </w:p>
    <w:p>
      <w:pPr>
        <w:pStyle w:val="Compact"/>
        <w:numPr>
          <w:ilvl w:val="0"/>
          <w:numId w:val="1001"/>
        </w:numPr>
      </w:pPr>
      <w:r>
        <w:t xml:space="preserve">Kębłowski W.,</w:t>
      </w:r>
      <w:r>
        <w:t xml:space="preserve"> </w:t>
      </w:r>
      <w:r>
        <w:rPr>
          <w:i/>
          <w:iCs/>
        </w:rPr>
        <w:t xml:space="preserve">Budżet partycypacyjny. Ewaluacja</w:t>
      </w:r>
      <w:r>
        <w:t xml:space="preserve">, Warszawa 2014.</w:t>
      </w:r>
    </w:p>
    <w:bookmarkEnd w:id="34"/>
    <w:bookmarkStart w:id="35" w:name="wykaz-aktów-prawnych"/>
    <w:p>
      <w:pPr>
        <w:pStyle w:val="Heading1"/>
      </w:pPr>
      <w:r>
        <w:t xml:space="preserve">Wykaz aktów prawnych</w:t>
      </w:r>
    </w:p>
    <w:p>
      <w:pPr>
        <w:pStyle w:val="Compact"/>
        <w:numPr>
          <w:ilvl w:val="0"/>
          <w:numId w:val="1002"/>
        </w:numPr>
      </w:pPr>
      <w:r>
        <w:t xml:space="preserve">Ustawa z dnia 8 marca 1990 r. o samorządzie gminnym (tekst jedn. Dz.U. z 2026 r. poz. 662).</w:t>
      </w:r>
    </w:p>
    <w:p>
      <w:pPr>
        <w:pStyle w:val="Compact"/>
        <w:numPr>
          <w:ilvl w:val="0"/>
          <w:numId w:val="1002"/>
        </w:numPr>
      </w:pPr>
      <w:r>
        <w:t xml:space="preserve">Ustawa z dnia 11 stycznia 2018 r. o zmianie niektórych ustaw w celu zwiększenia udziału obywateli w procesie wybierania, funkcjonowania i kontrolowania niektórych organów publicznych (Dz.U. poz. 130 z późn. zm.).</w:t>
      </w:r>
    </w:p>
    <w:bookmarkEnd w:id="35"/>
    <w:bookmarkStart w:id="39" w:name="wykaz-innych-źródeł"/>
    <w:p>
      <w:pPr>
        <w:pStyle w:val="Heading1"/>
      </w:pPr>
      <w:r>
        <w:t xml:space="preserve">Wykaz innych źródeł</w:t>
      </w:r>
    </w:p>
    <w:p>
      <w:pPr>
        <w:pStyle w:val="Compact"/>
        <w:numPr>
          <w:ilvl w:val="0"/>
          <w:numId w:val="1003"/>
        </w:numPr>
      </w:pPr>
      <w:r>
        <w:t xml:space="preserve">Uchwała nr ____ Rady Miasta A z dnia ______ r. w sprawie wymagań, jakie powinien spełniać projekt budżetu obywatelskiego.</w:t>
      </w:r>
    </w:p>
    <w:p>
      <w:pPr>
        <w:pStyle w:val="Compact"/>
        <w:numPr>
          <w:ilvl w:val="0"/>
          <w:numId w:val="1003"/>
        </w:numPr>
      </w:pPr>
      <w:r>
        <w:t xml:space="preserve">Raport z ewaluacji budżetu obywatelskiego Miasta B, edycja 2025, Urząd Miasta B (BIP).</w:t>
      </w:r>
    </w:p>
    <w:p>
      <w:pPr>
        <w:pStyle w:val="Compact"/>
        <w:numPr>
          <w:ilvl w:val="0"/>
          <w:numId w:val="1003"/>
        </w:numPr>
      </w:pPr>
      <w:r>
        <w:t xml:space="preserve">Dane o frekwencji w głosowaniach budżetu obywatelskiego 2022–2025, serwisy BIP miast A, B i C.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36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7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8">
        <w:r>
          <w:rPr>
            <w:rStyle w:val="Hyperlink"/>
            <w:b/>
            <w:bCs/>
          </w:rPr>
          <w:t xml:space="preserve">www.praca-magisterska.pl</w:t>
        </w:r>
      </w:hyperlink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Ustawa z dnia 8 marca 1990 r. o samorządzie gminnym (tekst jedn. Dz.U. z 2026 r. poz. 662).</w:t>
      </w:r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Por. B. Dolnicki (red.),</w:t>
      </w:r>
      <w:r>
        <w:t xml:space="preserve"> </w:t>
      </w:r>
      <w:r>
        <w:rPr>
          <w:i/>
          <w:iCs/>
        </w:rPr>
        <w:t xml:space="preserve">Ustawa o samorządzie gminnym. Komentarz</w:t>
      </w:r>
      <w:r>
        <w:t xml:space="preserve">, Warszawa 2021, kom. do art. 5a.</w:t>
      </w:r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Zob. np. rozstrzygnięcie nadzorcze Wojewody ________ z dnia ______ r., nr ______; wyrok WSA w ________ z dnia ______ r., sygn. ______. W swojej pracy powołaj konkretne, aktualne rozstrzygnięcia z Centralnej Bazy Orzeczeń Sądów Administracyjnych (orzeczenia.nsa.gov.pl).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6" Target="https://smart-edu.ai" TargetMode="External" /><Relationship Type="http://schemas.openxmlformats.org/officeDocument/2006/relationships/hyperlink" Id="rId38" Target="https://www.praca-magisterska.pl" TargetMode="External" /><Relationship Type="http://schemas.openxmlformats.org/officeDocument/2006/relationships/hyperlink" Id="rId37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smart-edu.ai" TargetMode="External" /><Relationship Type="http://schemas.openxmlformats.org/officeDocument/2006/relationships/hyperlink" Id="rId38" Target="https://www.praca-magisterska.pl" TargetMode="External" /><Relationship Type="http://schemas.openxmlformats.org/officeDocument/2006/relationships/hyperlink" Id="rId37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2026-07-17T07:08:25Z</dcterms:created>
  <dcterms:modified xsi:type="dcterms:W3CDTF">2026-07-17T07:08:25Z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