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MEDYCZNY ________________</w:t>
      </w:r>
    </w:p>
    <w:p>
      <w:pPr>
        <w:pStyle w:val="Center"/>
      </w:pPr>
      <w:r>
        <w:t xml:space="preserve">Wydział Nauk o Zdrowiu — Kierunek: Dietetyka</w:t>
      </w:r>
    </w:p>
    <w:p>
      <w:pPr>
        <w:pStyle w:val="Center"/>
      </w:pPr>
      <w:r>
        <w:rPr>
          <w:b/>
          <w:bCs/>
        </w:rPr>
        <w:t xml:space="preserve">Natalia Szymańska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Ocena sposobu żywienia i stanu odżywienia kobiet w wieku 19–30 lat o różnym poziomie aktywności fizycznej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 hab. n. o zdr. ________________</w:t>
      </w:r>
    </w:p>
    <w:p>
      <w:pPr>
        <w:pStyle w:val="Center"/>
      </w:pPr>
      <w:r>
        <w:t xml:space="preserve">Poznań,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</w:t>
      </w:r>
      <w:r>
        <w:t xml:space="preserve"> </w:t>
      </w:r>
      <w:r>
        <w:rPr>
          <w:b/>
          <w:bCs/>
        </w:rPr>
        <w:t xml:space="preserve">empirycznej pracy magisterskiej z dietetyki</w:t>
      </w:r>
      <w:r>
        <w:t xml:space="preserve"> </w:t>
      </w:r>
      <w:r>
        <w:t xml:space="preserve">w najczęstszym schemacie kierunku: ocena sposobu żywienia (wywiad żywieniowy, kwestionariusz częstotliwości spożycia) i stanu odżywienia (antropometria) badanej grupy, z porównaniem do norm żywienia i wnioskami dla poradnictwa dietetycznego. Konwencja medyczna: streszczenie strukturalne, rozdział „Materiał i metody”, piśmiennictwo Vancouver. Niebieskie adnotacje opisują funkcję każdej części — usuń je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rPr>
          <w:b/>
          <w:bCs/>
        </w:rPr>
        <w:t xml:space="preserve">Wstęp.</w:t>
      </w:r>
      <w:r>
        <w:t xml:space="preserve"> </w:t>
      </w:r>
      <w:r>
        <w:t xml:space="preserve">Sposób żywienia młodych dorosłych kobiet często odbiega od zaleceń, a regularna aktywność fizyczna bywa uznawana za czynnik sprzyjający korzystniejszym wyborom żywieniowym. Zależność ta nie jest jednak jednoznaczna i wymaga weryfikacji w badaniach własnych.</w:t>
      </w:r>
    </w:p>
    <w:p>
      <w:pPr>
        <w:pStyle w:val="BodyText"/>
      </w:pPr>
      <w:r>
        <w:rPr>
          <w:b/>
          <w:bCs/>
        </w:rPr>
        <w:t xml:space="preserve">Cel pracy.</w:t>
      </w:r>
      <w:r>
        <w:t xml:space="preserve"> </w:t>
      </w:r>
      <w:r>
        <w:t xml:space="preserve">Ocena i porównanie sposobu żywienia oraz stanu odżywienia kobiet w wieku 19–30 lat o wysokim i niskim poziomie aktywności fizycznej.</w:t>
      </w:r>
    </w:p>
    <w:p>
      <w:pPr>
        <w:pStyle w:val="BodyText"/>
      </w:pPr>
      <w:r>
        <w:rPr>
          <w:b/>
          <w:bCs/>
        </w:rPr>
        <w:t xml:space="preserve">Materiał i metody.</w:t>
      </w:r>
      <w:r>
        <w:t xml:space="preserve"> </w:t>
      </w:r>
      <w:r>
        <w:t xml:space="preserve">Badaniem objęto 96 kobiet (48 trenujących regularnie, 48 o niskiej aktywności). Sposób żywienia oceniono metodą trzykrotnego wywiadu 24-godzinnego (analiza w programie komputerowym, porównanie z normami żywienia dla populacji Polski) oraz walidowanym kwestionariuszem częstotliwości spożycia. Stan odżywienia oceniono pomiarami antropometrycznymi (masa ciała, wzrost, obwody; wskaźniki BMI i WHR). Różnice między grupami weryfikowano testem t-Studenta lub U Manna-Whitneya (p &lt; 0,05).</w:t>
      </w:r>
    </w:p>
    <w:p>
      <w:pPr>
        <w:pStyle w:val="BodyText"/>
      </w:pPr>
      <w:r>
        <w:rPr>
          <w:b/>
          <w:bCs/>
        </w:rPr>
        <w:t xml:space="preserve">Wyniki.</w:t>
      </w:r>
      <w:r>
        <w:t xml:space="preserve"> </w:t>
      </w:r>
      <w:r>
        <w:t xml:space="preserve">Średnia wartość energetyczna diety nie różniła się istotnie między grupami, natomiast kobiety aktywne spożywały istotnie więcej białka (1,4 vs 1,0 g/kg mc.; p &lt; 0,001) i błonnika (24,1 vs 18,3 g/d; p = 0,002). W obu grupach stwierdzono spożycie wapnia i witaminy D poniżej norm (odpowiednio 72% i 38% realizacji normy w całej próbie). Nieprawidłową masę ciała (BMI poza zakresem 18,5–24,9) częściej obserwowano w grupie o niskiej aktywności (31% vs 15%).</w:t>
      </w:r>
    </w:p>
    <w:p>
      <w:pPr>
        <w:pStyle w:val="BodyText"/>
      </w:pPr>
      <w:r>
        <w:rPr>
          <w:b/>
          <w:bCs/>
        </w:rPr>
        <w:t xml:space="preserve">Wnioski.</w:t>
      </w:r>
      <w:r>
        <w:t xml:space="preserve"> </w:t>
      </w:r>
      <w:r>
        <w:t xml:space="preserve">Wyższa aktywność fizyczna współwystępuje z korzystniejszą strukturą diety, lecz nie eliminuje niedoborów wspólnych dla całej badanej populacji (wapń, witamina D). Poradnictwo dietetyczne dla młodych kobiet powinno akcentować źródła wapnia i suplementację witaminy D niezależnie od poziomu aktywności.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sposób żywienia, stan odżywienia, aktywność fizyczna, wywiad żywieniowy, młode kobiety.</w:t>
      </w:r>
    </w:p>
    <w:p>
      <w:pPr>
        <w:pStyle w:val="Anno"/>
      </w:pPr>
      <w:r>
        <w:t xml:space="preserve">[Streszczenie strukturalne jak w czasopiśmie medycznym. Zwróć uwagę na precyzję jednostek (g/kg mc., g/d, % realizacji normy) — to warsztatowa wizytówka pracy z dietetyki.]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Żywienie młodych dorosłych — przegląd piśmiennictwa</w:t>
      </w:r>
      <w:r>
        <w:t xml:space="preserve"> </w:t>
      </w:r>
    </w:p>
    <w:p>
      <w:pPr>
        <w:pStyle w:val="Note"/>
      </w:pPr>
      <w:r>
        <w:t xml:space="preserve">1.1. Normy żywienia i zasady zdrowej diety</w:t>
      </w:r>
      <w:r>
        <w:t xml:space="preserve"> </w:t>
      </w:r>
    </w:p>
    <w:p>
      <w:pPr>
        <w:pStyle w:val="Note"/>
      </w:pPr>
      <w:r>
        <w:t xml:space="preserve">1.2. Metody oceny sposobu żywienia i stanu odżywienia</w:t>
      </w:r>
      <w:r>
        <w:t xml:space="preserve"> </w:t>
      </w:r>
    </w:p>
    <w:p>
      <w:pPr>
        <w:pStyle w:val="Note"/>
      </w:pPr>
      <w:r>
        <w:t xml:space="preserve">1.3. Aktywność fizyczna a zachowania żywieniowe — stan badań</w:t>
      </w:r>
      <w:r>
        <w:t xml:space="preserve"> </w:t>
      </w:r>
    </w:p>
    <w:p>
      <w:pPr>
        <w:pStyle w:val="Note"/>
      </w:pPr>
      <w:r>
        <w:t xml:space="preserve">Rozdział 2. Materiał i metody</w:t>
      </w:r>
      <w:r>
        <w:t xml:space="preserve"> </w:t>
      </w:r>
    </w:p>
    <w:p>
      <w:pPr>
        <w:pStyle w:val="Note"/>
      </w:pPr>
      <w:r>
        <w:t xml:space="preserve">2.1. Cel pracy, pytania badawcze i hipotezy</w:t>
      </w:r>
      <w:r>
        <w:t xml:space="preserve"> </w:t>
      </w:r>
    </w:p>
    <w:p>
      <w:pPr>
        <w:pStyle w:val="Note"/>
      </w:pPr>
      <w:r>
        <w:t xml:space="preserve">2.2. Charakterystyka badanej grupy i organizacja badania</w:t>
      </w:r>
      <w:r>
        <w:t xml:space="preserve"> </w:t>
      </w:r>
    </w:p>
    <w:p>
      <w:pPr>
        <w:pStyle w:val="Note"/>
      </w:pPr>
      <w:r>
        <w:t xml:space="preserve">2.3. Ocena sposobu żywienia</w:t>
      </w:r>
      <w:r>
        <w:t xml:space="preserve"> </w:t>
      </w:r>
    </w:p>
    <w:p>
      <w:pPr>
        <w:pStyle w:val="Note"/>
      </w:pPr>
      <w:r>
        <w:t xml:space="preserve">2.4. Ocena stanu odżywienia</w:t>
      </w:r>
      <w:r>
        <w:t xml:space="preserve"> </w:t>
      </w:r>
    </w:p>
    <w:p>
      <w:pPr>
        <w:pStyle w:val="Note"/>
      </w:pPr>
      <w:r>
        <w:t xml:space="preserve">2.5. Analiza statystyczna</w:t>
      </w:r>
      <w:r>
        <w:t xml:space="preserve"> </w:t>
      </w:r>
    </w:p>
    <w:p>
      <w:pPr>
        <w:pStyle w:val="Note"/>
      </w:pPr>
      <w:r>
        <w:t xml:space="preserve">Rozdział 3. Wyniki</w:t>
      </w:r>
      <w:r>
        <w:t xml:space="preserve"> </w:t>
      </w:r>
    </w:p>
    <w:p>
      <w:pPr>
        <w:pStyle w:val="Note"/>
      </w:pPr>
      <w:r>
        <w:t xml:space="preserve">3.1. Wartość energetyczna i odżywcza diet</w:t>
      </w:r>
      <w:r>
        <w:t xml:space="preserve"> </w:t>
      </w:r>
    </w:p>
    <w:p>
      <w:pPr>
        <w:pStyle w:val="Note"/>
      </w:pPr>
      <w:r>
        <w:t xml:space="preserve">3.2. Realizacja norm na wybrane składniki</w:t>
      </w:r>
      <w:r>
        <w:t xml:space="preserve"> </w:t>
      </w:r>
    </w:p>
    <w:p>
      <w:pPr>
        <w:pStyle w:val="Note"/>
      </w:pPr>
      <w:r>
        <w:t xml:space="preserve">3.3. Stan odżywienia badanych</w:t>
      </w:r>
      <w:r>
        <w:t xml:space="preserve"> </w:t>
      </w:r>
    </w:p>
    <w:p>
      <w:pPr>
        <w:pStyle w:val="Note"/>
      </w:pPr>
      <w:r>
        <w:t xml:space="preserve">Rozdział 4. Dyskusja</w:t>
      </w:r>
      <w:r>
        <w:t xml:space="preserve"> </w:t>
      </w:r>
    </w:p>
    <w:p>
      <w:pPr>
        <w:pStyle w:val="Note"/>
      </w:pPr>
      <w:r>
        <w:t xml:space="preserve">Wnioski</w:t>
      </w:r>
      <w:r>
        <w:t xml:space="preserve"> </w:t>
      </w:r>
    </w:p>
    <w:p>
      <w:pPr>
        <w:pStyle w:val="Note"/>
      </w:pPr>
      <w:r>
        <w:t xml:space="preserve">Piśmiennictwo · Spis tabel i rycin · Załączniki</w:t>
      </w:r>
      <w:r>
        <w:t xml:space="preserve"> </w:t>
      </w:r>
    </w:p>
    <w:bookmarkEnd w:id="21"/>
    <w:bookmarkStart w:id="26" w:name="rozdział-2.-materiał-i-metody"/>
    <w:p>
      <w:pPr>
        <w:pStyle w:val="Heading1"/>
      </w:pPr>
      <w:r>
        <w:t xml:space="preserve">Rozdział 2. Materiał i metody</w:t>
      </w:r>
    </w:p>
    <w:bookmarkStart w:id="22" w:name="Xdb8c3705b7f82c907dbe5614101593436e193dd"/>
    <w:p>
      <w:pPr>
        <w:pStyle w:val="Heading2"/>
      </w:pPr>
      <w:r>
        <w:t xml:space="preserve">2.2. Charakterystyka badanej grupy i organizacja badania</w:t>
      </w:r>
    </w:p>
    <w:p>
      <w:pPr>
        <w:pStyle w:val="FirstParagraph"/>
      </w:pPr>
      <w:r>
        <w:t xml:space="preserve">Badanie przeprowadzono od lutego do kwietnia 2026 roku wśród 96 kobiet w wieku 19–30 lat. Grupę badaną (n = 48) stanowiły kobiety trenujące regularnie (co najmniej 3 treningi tygodniowo od minimum 6 miesięcy), rekrutowane w klubach fitness; grupę porównawczą (n = 48) — kobiety o niskiej aktywności fizycznej, rekrutowane wśród studentek kierunków niezwiązanych ze sportem. Kryteria wykluczenia: ciąża i laktacja, zdiagnozowane choroby przewlekłe wymagające diety leczniczej, stosowanie diety redukcyjnej w okresie badania. Udział był dobrowolny i poufny; badanie uzyskało pozytywną opinię uczelnianej komisji bioetycznej (nr ______).</w:t>
      </w:r>
    </w:p>
    <w:p>
      <w:pPr>
        <w:pStyle w:val="Anno"/>
      </w:pPr>
      <w:r>
        <w:t xml:space="preserve">[Prace z dietetyki wymagają precyzyjnych KRYTERIÓW WŁĄCZENIA I WYKLUCZENIA — dieta lecznicza czy ciąża zmieniają zapotrzebowanie i zafałszowałyby porównanie. Zdefiniuj też operacyjnie „aktywność fizyczną” (ile treningów, od kiedy).]</w:t>
      </w:r>
    </w:p>
    <w:bookmarkEnd w:id="22"/>
    <w:bookmarkStart w:id="24" w:name="ocena-sposobu-żywienia"/>
    <w:p>
      <w:pPr>
        <w:pStyle w:val="Heading2"/>
      </w:pPr>
      <w:r>
        <w:t xml:space="preserve">2.3. Ocena sposobu żywienia</w:t>
      </w:r>
    </w:p>
    <w:p>
      <w:pPr>
        <w:pStyle w:val="FirstParagraph"/>
      </w:pPr>
      <w:r>
        <w:t xml:space="preserve">Sposób żywienia oceniono metodą trzykrotnego wywiadu 24-godzinnego (dwa dni powszednie i jeden dzień weekendowy), prowadzonego z użyciem albumu fotografii produktów i potraw dla doprecyzowania wielkości porcji. Wartość energetyczną i odżywczą diet obliczono w programie komputerowym opartym na krajowych tabelach składu i wartości odżywczej żywności, a uzyskane wartości odniesiono do aktualnych norm żywienia dla populacji Polski na poziomie EAR lub AI, z uwzględnieniem poprawki na niedoszacowanie spożycia. Zwyczaje żywieniowe scharakteryzowano dodatkowo walidowanym kwestionariuszem częstotliwości spożycia.</w:t>
      </w:r>
      <w:r>
        <w:rPr>
          <w:rStyle w:val="FootnoteReference"/>
        </w:rPr>
        <w:footnoteReference w:id="23"/>
      </w:r>
    </w:p>
    <w:p>
      <w:pPr>
        <w:pStyle w:val="Anno"/>
      </w:pPr>
      <w:r>
        <w:t xml:space="preserve">[Warsztat dietetyka w komplecie: metoda wywiadu (ile powtórzeń, jakie dni), album porcji, program obliczeniowy, normy i poziom odniesienia (EAR/AI), narzędzie FFQ. Każdy z tych elementów recenzent może sprawdzić pytaniem na obronie.]</w:t>
      </w:r>
    </w:p>
    <w:bookmarkEnd w:id="24"/>
    <w:bookmarkStart w:id="25" w:name="ocena-stanu-odżywienia"/>
    <w:p>
      <w:pPr>
        <w:pStyle w:val="Heading2"/>
      </w:pPr>
      <w:r>
        <w:t xml:space="preserve">2.4. Ocena stanu odżywienia</w:t>
      </w:r>
    </w:p>
    <w:p>
      <w:pPr>
        <w:pStyle w:val="FirstParagraph"/>
      </w:pPr>
      <w:r>
        <w:t xml:space="preserve">Wykonano pomiary antropometryczne: masy ciała (waga ze wzrostomierzem, pomiar w bieliźnie, rano na czczo), wzrostu oraz obwodów talii i bioder taśmą antropometryczną według standardowej procedury. Obliczono wskaźniki BMI i WHR, przyjmując klasyfikację WHO (BMI: niedowaga &lt; 18,5; norma 18,5–24,9; nadwaga 25,0–29,9; otyłość ≥ 30,0 kg/m²).</w:t>
      </w:r>
    </w:p>
    <w:bookmarkEnd w:id="25"/>
    <w:bookmarkEnd w:id="26"/>
    <w:bookmarkStart w:id="28" w:name="rozdział-3.-wyniki"/>
    <w:p>
      <w:pPr>
        <w:pStyle w:val="Heading1"/>
      </w:pPr>
      <w:r>
        <w:t xml:space="preserve">Rozdział 3. Wyniki</w:t>
      </w:r>
    </w:p>
    <w:bookmarkStart w:id="27" w:name="realizacja-norm-na-wybrane-składniki"/>
    <w:p>
      <w:pPr>
        <w:pStyle w:val="Heading2"/>
      </w:pPr>
      <w:r>
        <w:t xml:space="preserve">3.2. Realizacja norm na wybrane składniki</w:t>
      </w:r>
    </w:p>
    <w:p>
      <w:pPr>
        <w:pStyle w:val="FirstParagraph"/>
      </w:pPr>
      <w:r>
        <w:t xml:space="preserve">Średnia realizacja normy na wapń wyniosła w całej próbie 72%, a na witaminę D — 38%, bez istotnych różnic między grupami. Spożycie białka było istotnie wyższe w grupie aktywnej (1,4 vs 1,0 g/kg mc.; p &lt; 0,001), podobnie jak spożycie błonnika (24,1 vs 18,3 g/d; p = 0,002).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Składnik</w:t>
            </w:r>
          </w:p>
        </w:tc>
        <w:tc>
          <w:tcPr/>
          <w:p>
            <w:pPr>
              <w:pStyle w:val="Compact"/>
            </w:pPr>
            <w:r>
              <w:t xml:space="preserve">Grupa aktywna</w:t>
            </w:r>
          </w:p>
        </w:tc>
        <w:tc>
          <w:tcPr/>
          <w:p>
            <w:pPr>
              <w:pStyle w:val="Compact"/>
            </w:pPr>
            <w:r>
              <w:t xml:space="preserve">Grupa o niskiej aktywności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Energia (kcal/d)</w:t>
            </w:r>
          </w:p>
        </w:tc>
        <w:tc>
          <w:tcPr/>
          <w:p>
            <w:pPr>
              <w:pStyle w:val="Compact"/>
            </w:pPr>
            <w:r>
              <w:t xml:space="preserve">2140</w:t>
            </w:r>
          </w:p>
        </w:tc>
        <w:tc>
          <w:tcPr/>
          <w:p>
            <w:pPr>
              <w:pStyle w:val="Compact"/>
            </w:pPr>
            <w:r>
              <w:t xml:space="preserve">2035</w:t>
            </w:r>
          </w:p>
        </w:tc>
        <w:tc>
          <w:tcPr/>
          <w:p>
            <w:pPr>
              <w:pStyle w:val="Compact"/>
            </w:pPr>
            <w:r>
              <w:t xml:space="preserve">0,214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Białko (g/kg mc.)</w:t>
            </w:r>
          </w:p>
        </w:tc>
        <w:tc>
          <w:tcPr/>
          <w:p>
            <w:pPr>
              <w:pStyle w:val="Compact"/>
            </w:pPr>
            <w:r>
              <w:t xml:space="preserve">1,4</w:t>
            </w:r>
          </w:p>
        </w:tc>
        <w:tc>
          <w:tcPr/>
          <w:p>
            <w:pPr>
              <w:pStyle w:val="Compact"/>
            </w:pPr>
            <w:r>
              <w:t xml:space="preserve">1,0</w:t>
            </w:r>
          </w:p>
        </w:tc>
        <w:tc>
          <w:tcPr/>
          <w:p>
            <w:pPr>
              <w:pStyle w:val="Compact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Błonnik (g/d)</w:t>
            </w:r>
          </w:p>
        </w:tc>
        <w:tc>
          <w:tcPr/>
          <w:p>
            <w:pPr>
              <w:pStyle w:val="Compact"/>
            </w:pPr>
            <w:r>
              <w:t xml:space="preserve">24,1</w:t>
            </w:r>
          </w:p>
        </w:tc>
        <w:tc>
          <w:tcPr/>
          <w:p>
            <w:pPr>
              <w:pStyle w:val="Compact"/>
            </w:pPr>
            <w:r>
              <w:t xml:space="preserve">18,3</w:t>
            </w:r>
          </w:p>
        </w:tc>
        <w:tc>
          <w:tcPr/>
          <w:p>
            <w:pPr>
              <w:pStyle w:val="Compact"/>
            </w:pPr>
            <w:r>
              <w:t xml:space="preserve">0,002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Wapń (% normy)</w:t>
            </w:r>
          </w:p>
        </w:tc>
        <w:tc>
          <w:tcPr/>
          <w:p>
            <w:pPr>
              <w:pStyle w:val="Compact"/>
            </w:pPr>
            <w:r>
              <w:t xml:space="preserve">74%</w:t>
            </w:r>
          </w:p>
        </w:tc>
        <w:tc>
          <w:tcPr/>
          <w:p>
            <w:pPr>
              <w:pStyle w:val="Compact"/>
            </w:pPr>
            <w:r>
              <w:t xml:space="preserve">70%</w:t>
            </w:r>
          </w:p>
        </w:tc>
        <w:tc>
          <w:tcPr/>
          <w:p>
            <w:pPr>
              <w:pStyle w:val="Compact"/>
            </w:pPr>
            <w:r>
              <w:t xml:space="preserve">0,391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Witamina D (% normy)</w:t>
            </w:r>
          </w:p>
        </w:tc>
        <w:tc>
          <w:tcPr/>
          <w:p>
            <w:pPr>
              <w:pStyle w:val="Compact"/>
            </w:pPr>
            <w:r>
              <w:t xml:space="preserve">41%</w:t>
            </w:r>
          </w:p>
        </w:tc>
        <w:tc>
          <w:tcPr/>
          <w:p>
            <w:pPr>
              <w:pStyle w:val="Compact"/>
            </w:pPr>
            <w:r>
              <w:t xml:space="preserve">35%</w:t>
            </w:r>
          </w:p>
        </w:tc>
        <w:tc>
          <w:tcPr/>
          <w:p>
            <w:pPr>
              <w:pStyle w:val="Compact"/>
            </w:pPr>
            <w:r>
              <w:t xml:space="preserve">0,246</w:t>
            </w:r>
          </w:p>
        </w:tc>
      </w:tr>
    </w:tbl>
    <w:p>
      <w:pPr>
        <w:pStyle w:val="Anno"/>
      </w:pPr>
      <w:r>
        <w:t xml:space="preserve">[Tabela wynikowa z jednostkami i wartościami p; pod tabelą „Źródło: badania własne”. W tekście komentuj wzorzec (co się różni, co wspólne), nie przepisuj tabeli słowami.]</w:t>
      </w:r>
    </w:p>
    <w:bookmarkEnd w:id="27"/>
    <w:bookmarkEnd w:id="28"/>
    <w:bookmarkStart w:id="29" w:name="rozdział-4.-dyskusja"/>
    <w:p>
      <w:pPr>
        <w:pStyle w:val="Heading1"/>
      </w:pPr>
      <w:r>
        <w:t xml:space="preserve">Rozdział 4. Dyskusja</w:t>
      </w:r>
    </w:p>
    <w:p>
      <w:pPr>
        <w:pStyle w:val="FirstParagraph"/>
      </w:pPr>
      <w:r>
        <w:t xml:space="preserve">Uzyskane wyniki wpisują się w doniesienia o korzystniejszej strukturze diety osób aktywnych przy zachowanych niedoborach typowych dla całej populacji młodych kobiet — zwłaszcza wapnia i witaminy D. Praktyczne znaczenie ma rozdzielenie tych dwóch warstw: różnice między grupami dotyczą składników związanych ze świadomym komponowaniem diety „pod trening” (białko, błonnik), natomiast niedobory wspólne wskazują na luki wiedzy niezależne od aktywności. Ograniczenia pracy: deklaratywny charakter wywiadów żywieniowych (ryzyko niedoszacowania spożycia), dobór celowy próby oraz przekrojowy charakter badania, który nie uprawnia do wnioskowania przyczynowego.</w:t>
      </w:r>
    </w:p>
    <w:bookmarkEnd w:id="29"/>
    <w:bookmarkStart w:id="30" w:name="wnioski"/>
    <w:p>
      <w:pPr>
        <w:pStyle w:val="Heading1"/>
      </w:pPr>
      <w:r>
        <w:t xml:space="preserve">Wnioski</w:t>
      </w:r>
    </w:p>
    <w:p>
      <w:pPr>
        <w:pStyle w:val="Compact"/>
        <w:numPr>
          <w:ilvl w:val="0"/>
          <w:numId w:val="1001"/>
        </w:numPr>
      </w:pPr>
      <w:r>
        <w:t xml:space="preserve">Kobiety aktywne fizycznie spożywają istotnie więcej białka i błonnika niż kobiety o niskiej aktywności, przy porównywalnej wartości energetycznej diety.</w:t>
      </w:r>
    </w:p>
    <w:p>
      <w:pPr>
        <w:pStyle w:val="Compact"/>
        <w:numPr>
          <w:ilvl w:val="0"/>
          <w:numId w:val="1001"/>
        </w:numPr>
      </w:pPr>
      <w:r>
        <w:t xml:space="preserve">Niedobory wapnia i witaminy D dotyczą obu grup i mają charakter populacyjny, nie związany z poziomem aktywności.</w:t>
      </w:r>
    </w:p>
    <w:p>
      <w:pPr>
        <w:pStyle w:val="Compact"/>
        <w:numPr>
          <w:ilvl w:val="0"/>
          <w:numId w:val="1001"/>
        </w:numPr>
      </w:pPr>
      <w:r>
        <w:t xml:space="preserve">Poradnictwo dietetyczne dla młodych kobiet powinno akcentować źródła wapnia i zasadność suplementacji witaminy D niezależnie od stylu życia; w grupie o niskiej aktywności dodatkowym priorytetem jest podaż błonnika.</w:t>
      </w:r>
    </w:p>
    <w:bookmarkEnd w:id="30"/>
    <w:bookmarkStart w:id="34" w:name="piśmiennictwo"/>
    <w:p>
      <w:pPr>
        <w:pStyle w:val="Heading1"/>
      </w:pPr>
      <w:r>
        <w:t xml:space="preserve">Piśmiennictwo</w:t>
      </w:r>
    </w:p>
    <w:p>
      <w:pPr>
        <w:pStyle w:val="Anno"/>
      </w:pPr>
      <w:r>
        <w:t xml:space="preserve">[Styl Vancouver — numeracja według kolejności cytowania. Obowiązkowe pozycje warsztatu: aktualne normy żywienia dla populacji Polski, tabele składu żywności, źródło kwestionariusza FFQ.]</w:t>
      </w:r>
    </w:p>
    <w:p>
      <w:pPr>
        <w:pStyle w:val="Compact"/>
        <w:numPr>
          <w:ilvl w:val="0"/>
          <w:numId w:val="1002"/>
        </w:numPr>
      </w:pPr>
      <w:r>
        <w:t xml:space="preserve">Jarosz M. i wsp. (red.),</w:t>
      </w:r>
      <w:r>
        <w:t xml:space="preserve"> </w:t>
      </w:r>
      <w:r>
        <w:rPr>
          <w:i/>
          <w:iCs/>
        </w:rPr>
        <w:t xml:space="preserve">Normy żywienia dla populacji Polski i ich zastosowanie</w:t>
      </w:r>
      <w:r>
        <w:t xml:space="preserve">, NIZP-PZH, Warszawa (aktualne wydanie).</w:t>
      </w:r>
    </w:p>
    <w:p>
      <w:pPr>
        <w:pStyle w:val="Compact"/>
        <w:numPr>
          <w:ilvl w:val="0"/>
          <w:numId w:val="1002"/>
        </w:numPr>
      </w:pPr>
      <w:r>
        <w:t xml:space="preserve">Kunachowicz H. i wsp.,</w:t>
      </w:r>
      <w:r>
        <w:t xml:space="preserve"> </w:t>
      </w:r>
      <w:r>
        <w:rPr>
          <w:i/>
          <w:iCs/>
        </w:rPr>
        <w:t xml:space="preserve">Tabele składu i wartości odżywczej żywności</w:t>
      </w:r>
      <w:r>
        <w:t xml:space="preserve">, Warszawa (aktualne wydanie).</w:t>
      </w:r>
    </w:p>
    <w:p>
      <w:pPr>
        <w:pStyle w:val="Compact"/>
        <w:numPr>
          <w:ilvl w:val="0"/>
          <w:numId w:val="1002"/>
        </w:numPr>
      </w:pPr>
      <w:r>
        <w:t xml:space="preserve">Gawęcki J. (red.),</w:t>
      </w:r>
      <w:r>
        <w:t xml:space="preserve"> </w:t>
      </w:r>
      <w:r>
        <w:rPr>
          <w:i/>
          <w:iCs/>
        </w:rPr>
        <w:t xml:space="preserve">Żywienie człowieka. Podstawy nauki o żywieniu</w:t>
      </w:r>
      <w:r>
        <w:t xml:space="preserve">, Warszawa 2022.</w:t>
      </w:r>
    </w:p>
    <w:p>
      <w:pPr>
        <w:pStyle w:val="Compact"/>
        <w:numPr>
          <w:ilvl w:val="0"/>
          <w:numId w:val="1002"/>
        </w:numPr>
      </w:pPr>
      <w:r>
        <w:t xml:space="preserve">Kwestionariusz KomPAN — dokumentacja metodyczna Komitetu Nauki o Żywieniu Człowieka PAN (podaj wersję i rok).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1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2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3">
        <w:r>
          <w:rPr>
            <w:rStyle w:val="Hyperlink"/>
            <w:b/>
            <w:bCs/>
          </w:rPr>
          <w:t xml:space="preserve">www.praca-magisterska.pl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 polskich pracach standardem jest kwestionariusz KomPAN (Komitet Nauki o Żywieniu Człowieka PAN) — podaj wersję, źródło i zasady punktacji. Wywiad 24-godzinny i FFQ wzajemnie się uzupełniają: pierwszy daje wartości liczbowe, drugi — obraz zwyczajów.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2026-07-17T07:08:49Z</dcterms:created>
  <dcterms:modified xsi:type="dcterms:W3CDTF">2026-07-17T07:08:49Z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