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Dziennikarstwa, Informacji i Bibliologii — Kierunek: Dziennikarstwo i komunikacja społeczna</w:t>
      </w:r>
    </w:p>
    <w:p>
      <w:pPr>
        <w:pStyle w:val="Center"/>
      </w:pPr>
      <w:r>
        <w:rPr>
          <w:b/>
          <w:bCs/>
        </w:rPr>
        <w:t xml:space="preserve">Zuzanna Krawczyk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Ramowanie sztucznej inteligencji w polskich tygodnikach opinii w latach 2024–2025 — analiza zawartości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</w:t>
      </w:r>
    </w:p>
    <w:p>
      <w:pPr>
        <w:pStyle w:val="Center"/>
      </w:pPr>
      <w:r>
        <w:t xml:space="preserve">Warszawa,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dziennikarstwa w klasycznym schemacie kierunku:</w:t>
      </w:r>
      <w:r>
        <w:t xml:space="preserve"> </w:t>
      </w:r>
      <w:r>
        <w:rPr>
          <w:b/>
          <w:bCs/>
        </w:rPr>
        <w:t xml:space="preserve">ilościowa analiza zawartości mediów</w:t>
      </w:r>
      <w:r>
        <w:t xml:space="preserve"> </w:t>
      </w:r>
      <w:r>
        <w:t xml:space="preserve">(korpus z jawnych kryteriów, klucz kategoryzacyjny z definicjami, pilotaż i zgodność kodowania) uzupełniona jakościową analizą ramowania. Niebieskie adnotacje opisują funkcję każdej części — usuń je w swojej pracy. Dane liczbowe są fikcyjne.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Przedmiotem pracy jest sposób przedstawiania sztucznej inteligencji w polskich tygodnikach opinii. Celem pracy jest identyfikacja dominujących ram interpretacyjnych oraz porównanie ich rozkładu między tytułami o odmiennych profilach redakcyjnych. Zastosowano ilościową analizę zawartości uzupełnioną jakościową analizą ramowania. Korpus badawczy objął 214 tekstów opublikowanych w dwóch tygodnikach opinii w latach 2024–2025, wyodrębnionych według jawnych kryteriów z archiwów elektronicznych. Materiał kodowano według autorskiego klucza kategoryzacyjnego (14 kategorii w czterech grupach: temat główny, rama interpretacyjna, wydźwięk, źródła cytowane), zweryfikowanego w pilotażu; zgodność kodowania na próbie 30 tekstów wyniosła 87%. Analiza wykazała dominację ramy konsekwencji ekonomicznych (38% tekstów) oraz istotne różnice między tytułami w rozkładzie ramy zagrożenia i ramy postępu. W obu tygodnikach głos ekspertów akademickich ustępował częstością przedstawicielom branży technologicznej. Praca wpisuje się w badania nad medialnym konstruowaniem obrazu nowych technologii.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analiza zawartości, ramowanie, tygodniki opinii, sztuczna inteligencja, dyskurs medialny.</w:t>
      </w:r>
    </w:p>
    <w:p>
      <w:pPr>
        <w:pStyle w:val="Anno"/>
      </w:pPr>
      <w:r>
        <w:t xml:space="preserve">[Streszczenie pracy medioznawczej: przedmiot, cel, metoda z wielkością korpusu i zgodnością kodowania, główne wyniki z odsetkami. Zgodność kodowania (intercoder reliability) w streszczeniu to sygnał, że autor zna warsztat.]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Media a społeczne konstruowanie rzeczywistości</w:t>
      </w:r>
      <w:r>
        <w:t xml:space="preserve"> </w:t>
      </w:r>
    </w:p>
    <w:p>
      <w:pPr>
        <w:pStyle w:val="Note"/>
      </w:pPr>
      <w:r>
        <w:t xml:space="preserve">1.1. Teoria ramowania (framing) — geneza i pojęcia</w:t>
      </w:r>
      <w:r>
        <w:t xml:space="preserve"> </w:t>
      </w:r>
    </w:p>
    <w:p>
      <w:pPr>
        <w:pStyle w:val="Note"/>
      </w:pPr>
      <w:r>
        <w:t xml:space="preserve">1.2. Analiza zawartości jako metoda badań nad mediami</w:t>
      </w:r>
      <w:r>
        <w:t xml:space="preserve"> </w:t>
      </w:r>
    </w:p>
    <w:p>
      <w:pPr>
        <w:pStyle w:val="Note"/>
      </w:pPr>
      <w:r>
        <w:t xml:space="preserve">1.3. Nowe technologie w dyskursie medialnym — przegląd badań</w:t>
      </w:r>
      <w:r>
        <w:t xml:space="preserve"> </w:t>
      </w:r>
    </w:p>
    <w:p>
      <w:pPr>
        <w:pStyle w:val="Note"/>
      </w:pPr>
      <w:r>
        <w:t xml:space="preserve">1.4. Tygodniki opinii na polskim rynku prasowym</w:t>
      </w:r>
      <w:r>
        <w:t xml:space="preserve"> </w:t>
      </w:r>
    </w:p>
    <w:p>
      <w:pPr>
        <w:pStyle w:val="Note"/>
      </w:pPr>
      <w:r>
        <w:t xml:space="preserve">Rozdział 2. Metodologia badań własnych</w:t>
      </w:r>
      <w:r>
        <w:t xml:space="preserve"> </w:t>
      </w:r>
    </w:p>
    <w:p>
      <w:pPr>
        <w:pStyle w:val="Note"/>
      </w:pPr>
      <w:r>
        <w:t xml:space="preserve">2.1. Cel, pytania badawcze i hipotezy</w:t>
      </w:r>
      <w:r>
        <w:t xml:space="preserve"> </w:t>
      </w:r>
    </w:p>
    <w:p>
      <w:pPr>
        <w:pStyle w:val="Note"/>
      </w:pPr>
      <w:r>
        <w:t xml:space="preserve">2.2. Dobór korpusu badawczego</w:t>
      </w:r>
      <w:r>
        <w:t xml:space="preserve"> </w:t>
      </w:r>
    </w:p>
    <w:p>
      <w:pPr>
        <w:pStyle w:val="Note"/>
      </w:pPr>
      <w:r>
        <w:t xml:space="preserve">2.3. Klucz kategoryzacyjny i procedura kodowania</w:t>
      </w:r>
      <w:r>
        <w:t xml:space="preserve"> </w:t>
      </w:r>
    </w:p>
    <w:p>
      <w:pPr>
        <w:pStyle w:val="Note"/>
      </w:pPr>
      <w:r>
        <w:t xml:space="preserve">2.4. Zgodność kodowania i ograniczenia metody</w:t>
      </w:r>
      <w:r>
        <w:t xml:space="preserve"> </w:t>
      </w:r>
    </w:p>
    <w:p>
      <w:pPr>
        <w:pStyle w:val="Note"/>
      </w:pPr>
      <w:r>
        <w:t xml:space="preserve">Rozdział 3. Wyniki analizy zawartości</w:t>
      </w:r>
      <w:r>
        <w:t xml:space="preserve"> </w:t>
      </w:r>
    </w:p>
    <w:p>
      <w:pPr>
        <w:pStyle w:val="Note"/>
      </w:pPr>
      <w:r>
        <w:t xml:space="preserve">3.1. Charakterystyka korpusu</w:t>
      </w:r>
      <w:r>
        <w:t xml:space="preserve"> </w:t>
      </w:r>
    </w:p>
    <w:p>
      <w:pPr>
        <w:pStyle w:val="Note"/>
      </w:pPr>
      <w:r>
        <w:t xml:space="preserve">3.2. Rozkład ram interpretacyjnych</w:t>
      </w:r>
      <w:r>
        <w:t xml:space="preserve"> </w:t>
      </w:r>
    </w:p>
    <w:p>
      <w:pPr>
        <w:pStyle w:val="Note"/>
      </w:pPr>
      <w:r>
        <w:t xml:space="preserve">3.3. Wydźwięk i źródła cytowane</w:t>
      </w:r>
      <w:r>
        <w:t xml:space="preserve"> </w:t>
      </w:r>
    </w:p>
    <w:p>
      <w:pPr>
        <w:pStyle w:val="Note"/>
      </w:pPr>
      <w:r>
        <w:t xml:space="preserve">3.4. Porównanie tytułów</w:t>
      </w:r>
      <w:r>
        <w:t xml:space="preserve"> </w:t>
      </w:r>
    </w:p>
    <w:p>
      <w:pPr>
        <w:pStyle w:val="Note"/>
      </w:pPr>
      <w:r>
        <w:t xml:space="preserve">Rozdział 4. Analiza jakościowa wybranych tekstów i dyskusja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Spis tabel i wykresów · Aneks: klucz kategoryzacyjny</w:t>
      </w:r>
      <w:r>
        <w:t xml:space="preserve"> </w:t>
      </w:r>
    </w:p>
    <w:bookmarkEnd w:id="21"/>
    <w:bookmarkStart w:id="25" w:name="rozdział-2.-metodologia-badań-własnych"/>
    <w:p>
      <w:pPr>
        <w:pStyle w:val="Heading1"/>
      </w:pPr>
      <w:r>
        <w:t xml:space="preserve">Rozdział 2. Metodologia badań własnych</w:t>
      </w:r>
    </w:p>
    <w:bookmarkStart w:id="22" w:name="dobór-korpusu-badawczego"/>
    <w:p>
      <w:pPr>
        <w:pStyle w:val="Heading2"/>
      </w:pPr>
      <w:r>
        <w:t xml:space="preserve">2.2. Dobór korpusu badawczego</w:t>
      </w:r>
    </w:p>
    <w:p>
      <w:pPr>
        <w:pStyle w:val="FirstParagraph"/>
      </w:pPr>
      <w:r>
        <w:t xml:space="preserve">Korpus wyodrębniono z archiwów elektronicznych dwóch tygodników opinii o odmiennych profilach redakcyjnych, oznaczonych w pracy jako T1 i T2. Kryteria włączenia: (1) data publikacji między 1 stycznia 2024 a 31 grudnia 2025 roku; (2) obecność frazy „sztuczna inteligencja” lub „AI” w tytule, leadzie lub co najmniej trzykrotnie w tekście; (3) gatunek: artykuł publicystyczny, reportaż, wywiad lub komentarz (wykluczono notki agencyjne i materiały sponsorowane). Wyszukiwanie zwróciło 268 tekstów, z których po weryfikacji kryterium (2) i (3) do korpusu zakwalifikowano 214 (T1: 118, T2: 96).</w:t>
      </w:r>
    </w:p>
    <w:p>
      <w:pPr>
        <w:pStyle w:val="Anno"/>
      </w:pPr>
      <w:r>
        <w:t xml:space="preserve">[Dobór korpusu z jawnymi kryteriami i „ścieżką selekcji” (ile zwróciło wyszukiwanie → ile zakwalifikowano) to fundament wiarygodności analizy zawartości. Bez tego korpus wygląda na dobrany pod tezę.]</w:t>
      </w:r>
    </w:p>
    <w:bookmarkEnd w:id="22"/>
    <w:bookmarkStart w:id="23" w:name="Xee9e54c22052b2878283d5d6895e2dd53be1647"/>
    <w:p>
      <w:pPr>
        <w:pStyle w:val="Heading2"/>
      </w:pPr>
      <w:r>
        <w:t xml:space="preserve">2.3. Klucz kategoryzacyjny i procedura kodowania</w:t>
      </w:r>
    </w:p>
    <w:p>
      <w:pPr>
        <w:pStyle w:val="FirstParagraph"/>
      </w:pPr>
      <w:r>
        <w:t xml:space="preserve">Jednostką analizy był pojedynczy tekst. Klucz kategoryzacyjny objął 14 kategorii w czterech grupach: temat główny (6 kategorii), rama interpretacyjna (rama postępu, rama zagrożenia, rama konsekwencji ekonomicznych, rama odpowiedzialności i regulacji — katalog zaadaptowany z literatury nad ramowaniem), wydźwięk wobec technologii (pozytywny, neutralny, negatywny, ambiwalentny) oraz typ źródeł cytowanych (nauka, branża, polityka, użytkownicy). Każdej kategorii przypisano definicję operacyjną z przykładami rozstrzygającymi przypadki graniczne. Klucz zweryfikowano w pilotażu na 20 tekstach spoza korpusu, po którym doprecyzowano definicje ram.</w:t>
      </w:r>
    </w:p>
    <w:bookmarkEnd w:id="23"/>
    <w:bookmarkStart w:id="24" w:name="zgodność-kodowania-i-ograniczenia-metody"/>
    <w:p>
      <w:pPr>
        <w:pStyle w:val="Heading2"/>
      </w:pPr>
      <w:r>
        <w:t xml:space="preserve">2.4. Zgodność kodowania i ograniczenia metody</w:t>
      </w:r>
    </w:p>
    <w:p>
      <w:pPr>
        <w:pStyle w:val="FirstParagraph"/>
      </w:pPr>
      <w:r>
        <w:t xml:space="preserve">Kodowanie przeprowadziła autorka; dla oceny rzetelności drugi koder (student tego samego seminarium, przeszkolony z klucza) niezależnie zakodował losową próbę 30 tekstów. Zgodność prosta wyniosła 87%, a rozbieżności — skoncentrowane w rozróżnieniu ramy postępu i ramy konsekwencji ekonomicznych — rozstrzygnięto dyskusją i doprecyzowaniem definicji. Ograniczeniem metody pozostaje kategoryzacja tekstów wieloramowych według ramy dominującej.</w:t>
      </w:r>
    </w:p>
    <w:p>
      <w:pPr>
        <w:pStyle w:val="Anno"/>
      </w:pPr>
      <w:r>
        <w:t xml:space="preserve">[Zgodność kodowania to element, który wyróżnia pracę magisterską z medioznawstwa: pokazuje, że kategorie nie są prywatną intuicją autora. Prosty wariant (drugi koder + odsetek zgodności) jest w pełni osiągalny w pracy dyplomowej.]</w:t>
      </w:r>
    </w:p>
    <w:bookmarkEnd w:id="24"/>
    <w:bookmarkEnd w:id="25"/>
    <w:bookmarkStart w:id="27" w:name="rozdział-3.-wyniki-analizy-zawartości"/>
    <w:p>
      <w:pPr>
        <w:pStyle w:val="Heading1"/>
      </w:pPr>
      <w:r>
        <w:t xml:space="preserve">Rozdział 3. Wyniki analizy zawartości</w:t>
      </w:r>
    </w:p>
    <w:bookmarkStart w:id="26" w:name="rozkład-ram-interpretacyjnych"/>
    <w:p>
      <w:pPr>
        <w:pStyle w:val="Heading2"/>
      </w:pPr>
      <w:r>
        <w:t xml:space="preserve">3.2. Rozkład ram interpretacyjnych</w:t>
      </w:r>
    </w:p>
    <w:p>
      <w:pPr>
        <w:pStyle w:val="FirstParagraph"/>
      </w:pPr>
      <w:r>
        <w:t xml:space="preserve">W całym korpusie dominowała rama konsekwencji ekonomicznych (38% tekstów), przed ramą zagrożenia (27%), ramą postępu (21%) i ramą odpowiedzialności i regulacji (14%). Rozkład różnił się istotnie między tytułami: w T1 rama zagrożenia występowała niemal dwukrotnie częściej niż w T2 (34% wobec 18%; chi-kwadrat, p = 0,008), podczas gdy T2 częściej sięgał po ramę postępu.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Rama interpretacyjna</w:t>
            </w:r>
          </w:p>
        </w:tc>
        <w:tc>
          <w:tcPr/>
          <w:p>
            <w:pPr>
              <w:pStyle w:val="Compact"/>
            </w:pPr>
            <w:r>
              <w:t xml:space="preserve">Korpus ogółem</w:t>
            </w:r>
          </w:p>
        </w:tc>
        <w:tc>
          <w:tcPr/>
          <w:p>
            <w:pPr>
              <w:pStyle w:val="Compact"/>
            </w:pPr>
            <w:r>
              <w:t xml:space="preserve">T1</w:t>
            </w:r>
          </w:p>
        </w:tc>
        <w:tc>
          <w:tcPr/>
          <w:p>
            <w:pPr>
              <w:pStyle w:val="Compac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Konsekwencje ekonomiczne</w:t>
            </w:r>
          </w:p>
        </w:tc>
        <w:tc>
          <w:tcPr/>
          <w:p>
            <w:pPr>
              <w:pStyle w:val="Compact"/>
            </w:pPr>
            <w:r>
              <w:t xml:space="preserve">38%</w:t>
            </w:r>
          </w:p>
        </w:tc>
        <w:tc>
          <w:tcPr/>
          <w:p>
            <w:pPr>
              <w:pStyle w:val="Compact"/>
            </w:pPr>
            <w:r>
              <w:t xml:space="preserve">36%</w:t>
            </w:r>
          </w:p>
        </w:tc>
        <w:tc>
          <w:tcPr/>
          <w:p>
            <w:pPr>
              <w:pStyle w:val="Compact"/>
            </w:pPr>
            <w:r>
              <w:t xml:space="preserve">41%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Zagrożenie</w:t>
            </w:r>
          </w:p>
        </w:tc>
        <w:tc>
          <w:tcPr/>
          <w:p>
            <w:pPr>
              <w:pStyle w:val="Compact"/>
            </w:pPr>
            <w:r>
              <w:t xml:space="preserve">27%</w:t>
            </w:r>
          </w:p>
        </w:tc>
        <w:tc>
          <w:tcPr/>
          <w:p>
            <w:pPr>
              <w:pStyle w:val="Compact"/>
            </w:pPr>
            <w:r>
              <w:t xml:space="preserve">34%</w:t>
            </w:r>
          </w:p>
        </w:tc>
        <w:tc>
          <w:tcPr/>
          <w:p>
            <w:pPr>
              <w:pStyle w:val="Compact"/>
            </w:pPr>
            <w:r>
              <w:t xml:space="preserve">18%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Postęp</w:t>
            </w:r>
          </w:p>
        </w:tc>
        <w:tc>
          <w:tcPr/>
          <w:p>
            <w:pPr>
              <w:pStyle w:val="Compact"/>
            </w:pPr>
            <w:r>
              <w:t xml:space="preserve">21%</w:t>
            </w:r>
          </w:p>
        </w:tc>
        <w:tc>
          <w:tcPr/>
          <w:p>
            <w:pPr>
              <w:pStyle w:val="Compact"/>
            </w:pPr>
            <w:r>
              <w:t xml:space="preserve">15%</w:t>
            </w:r>
          </w:p>
        </w:tc>
        <w:tc>
          <w:tcPr/>
          <w:p>
            <w:pPr>
              <w:pStyle w:val="Compact"/>
            </w:pPr>
            <w:r>
              <w:t xml:space="preserve">28%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Odpowiedzialność i regulacje</w:t>
            </w:r>
          </w:p>
        </w:tc>
        <w:tc>
          <w:tcPr/>
          <w:p>
            <w:pPr>
              <w:pStyle w:val="Compact"/>
            </w:pPr>
            <w:r>
              <w:t xml:space="preserve">14%</w:t>
            </w:r>
          </w:p>
        </w:tc>
        <w:tc>
          <w:tcPr/>
          <w:p>
            <w:pPr>
              <w:pStyle w:val="Compact"/>
            </w:pPr>
            <w:r>
              <w:t xml:space="preserve">15%</w:t>
            </w:r>
          </w:p>
        </w:tc>
        <w:tc>
          <w:tcPr/>
          <w:p>
            <w:pPr>
              <w:pStyle w:val="Compact"/>
            </w:pPr>
            <w:r>
              <w:t xml:space="preserve">13%</w:t>
            </w:r>
          </w:p>
        </w:tc>
      </w:tr>
    </w:tbl>
    <w:p>
      <w:pPr>
        <w:pStyle w:val="Anno"/>
      </w:pPr>
      <w:r>
        <w:t xml:space="preserve">[Tabela z rozkładem w korpusie i per tytuł + test chi-kwadrat dla porównania. Pod tabelą „Źródło: badania własne”. W rozdziale 4 wybrane teksty analizuje się jakościowo — cytaty ilustrują, JAK rama działa w tekście.]</w:t>
      </w:r>
    </w:p>
    <w:bookmarkEnd w:id="26"/>
    <w:bookmarkEnd w:id="27"/>
    <w:bookmarkStart w:id="28" w:name="X03899a4b2e49bec358b66119c573c84af0452d1"/>
    <w:p>
      <w:pPr>
        <w:pStyle w:val="Heading1"/>
      </w:pPr>
      <w:r>
        <w:t xml:space="preserve">Rozdział 4. Analiza jakościowa wybranych tekstów i dyskusja</w:t>
      </w:r>
    </w:p>
    <w:p>
      <w:pPr>
        <w:pStyle w:val="FirstParagraph"/>
      </w:pPr>
      <w:r>
        <w:t xml:space="preserve">Analiza jakościowa czterech tekstów o skrajnych realizacjach ram pokazuje mechanizmy językowe ramowania: metaforykę („wyścig”, „tsunami technologiczne”), dobór bohaterów i konstrukcję leadów. Wyniki wpisują się w ustalenia badań nad medialnym obrazem wcześniejszych technologii, w których rama ekonomiczna również dominowała nad ramą regulacyjną. Zwraca uwagę struktura cytowanych źródeł: w obu tytułach przedstawiciele branży technologicznej występowali częściej niż naukowcy, co może sprzyjać perspektywie promocyjnej. Ograniczenia pracy: dwa tytuły prasowe (bez mediów cyfrowych), kategoryzacja według ramy dominującej oraz okres analizy zamknięty w dwóch latach.</w:t>
      </w:r>
    </w:p>
    <w:bookmarkEnd w:id="28"/>
    <w:bookmarkStart w:id="29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Praca odpowiedziała na wszystkie pytania badawcze: zidentyfikowano dominację ramy konsekwencji ekonomicznych, istotne różnice profilowe między tytułami oraz asymetrię źródeł na korzyść branży. W warstwie metodologicznej praca dostarcza przetestowanego klucza kategoryzacyjnego (aneks), który może być adaptowany w badaniach innych technologii. Kierunkiem dalszych badań jest rozszerzenie analizy na media cyfrowe i porównanie ramowania w mediach informacyjnych oraz społecznościowych.</w:t>
      </w:r>
    </w:p>
    <w:bookmarkEnd w:id="29"/>
    <w:bookmarkStart w:id="33" w:name="bibliografia"/>
    <w:p>
      <w:pPr>
        <w:pStyle w:val="Heading1"/>
      </w:pPr>
      <w:r>
        <w:t xml:space="preserve">Bibliografia</w:t>
      </w:r>
    </w:p>
    <w:p>
      <w:pPr>
        <w:pStyle w:val="Compact"/>
        <w:numPr>
          <w:ilvl w:val="0"/>
          <w:numId w:val="1001"/>
        </w:numPr>
      </w:pPr>
      <w:r>
        <w:t xml:space="preserve">Berelson B.,</w:t>
      </w:r>
      <w:r>
        <w:t xml:space="preserve"> </w:t>
      </w:r>
      <w:r>
        <w:rPr>
          <w:i/>
          <w:iCs/>
        </w:rPr>
        <w:t xml:space="preserve">Content Analysis in Communication Research</w:t>
      </w:r>
      <w:r>
        <w:t xml:space="preserve">, Glencoe 1952.</w:t>
      </w:r>
    </w:p>
    <w:p>
      <w:pPr>
        <w:pStyle w:val="Compact"/>
        <w:numPr>
          <w:ilvl w:val="0"/>
          <w:numId w:val="1001"/>
        </w:numPr>
      </w:pPr>
      <w:r>
        <w:t xml:space="preserve">Goban-Klas T.,</w:t>
      </w:r>
      <w:r>
        <w:t xml:space="preserve"> </w:t>
      </w:r>
      <w:r>
        <w:rPr>
          <w:i/>
          <w:iCs/>
        </w:rPr>
        <w:t xml:space="preserve">Media i komunikowanie masowe</w:t>
      </w:r>
      <w:r>
        <w:t xml:space="preserve">, Warszawa 2009.</w:t>
      </w:r>
    </w:p>
    <w:p>
      <w:pPr>
        <w:pStyle w:val="Compact"/>
        <w:numPr>
          <w:ilvl w:val="0"/>
          <w:numId w:val="1001"/>
        </w:numPr>
      </w:pPr>
      <w:r>
        <w:t xml:space="preserve">Lisowska-Magdziarz M.,</w:t>
      </w:r>
      <w:r>
        <w:t xml:space="preserve"> </w:t>
      </w:r>
      <w:r>
        <w:rPr>
          <w:i/>
          <w:iCs/>
        </w:rPr>
        <w:t xml:space="preserve">Analiza zawartości mediów. Przewodnik dla studentów</w:t>
      </w:r>
      <w:r>
        <w:t xml:space="preserve">, Kraków 2004.</w:t>
      </w:r>
    </w:p>
    <w:p>
      <w:pPr>
        <w:pStyle w:val="Compact"/>
        <w:numPr>
          <w:ilvl w:val="0"/>
          <w:numId w:val="1001"/>
        </w:numPr>
      </w:pPr>
      <w:r>
        <w:t xml:space="preserve">Pisarek W.,</w:t>
      </w:r>
      <w:r>
        <w:t xml:space="preserve"> </w:t>
      </w:r>
      <w:r>
        <w:rPr>
          <w:i/>
          <w:iCs/>
        </w:rPr>
        <w:t xml:space="preserve">Analiza zawartości prasy</w:t>
      </w:r>
      <w:r>
        <w:t xml:space="preserve">, Kraków 1983.</w:t>
      </w:r>
    </w:p>
    <w:p>
      <w:pPr>
        <w:pStyle w:val="Anno"/>
      </w:pPr>
      <w:r>
        <w:t xml:space="preserve">[Kanon metodologiczny analizy zawartości w polskich pracach: Berelson (definicja klasyczna), Pisarek i Lisowska-Magdziarz (warsztat po polsku). W aneksie umieść pełny klucz kategoryzacyjny z definicjami — bez niego badania nie da się ocenić ani powtórzyć.]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0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1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2">
        <w:r>
          <w:rPr>
            <w:rStyle w:val="Hyperlink"/>
            <w:b/>
            <w:bCs/>
          </w:rPr>
          <w:t xml:space="preserve">www.praca-magisterska.pl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2026-07-17T07:08:55Z</dcterms:created>
  <dcterms:modified xsi:type="dcterms:W3CDTF">2026-07-17T07:08:55Z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