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UNIVERSITÉ ________________</w:t>
      </w:r>
    </w:p>
    <w:p>
      <w:pPr>
        <w:pStyle w:val="Center"/>
      </w:pPr>
      <w:r>
        <w:t xml:space="preserve">Faculté des Lettres — Institut d’Études Romanes</w:t>
      </w:r>
    </w:p>
    <w:p>
      <w:pPr>
        <w:pStyle w:val="Center"/>
      </w:pPr>
      <w:r>
        <w:rPr>
          <w:b/>
          <w:bCs/>
        </w:rPr>
        <w:t xml:space="preserve">Zofia Michalak</w:t>
      </w:r>
    </w:p>
    <w:p>
      <w:pPr>
        <w:pStyle w:val="Center"/>
      </w:pPr>
      <w:r>
        <w:t xml:space="preserve">numéro d’album 000000</w:t>
      </w:r>
    </w:p>
    <w:p>
      <w:pPr>
        <w:pStyle w:val="Center"/>
      </w:pPr>
      <w:r>
        <w:rPr>
          <w:b/>
          <w:bCs/>
        </w:rPr>
        <w:t xml:space="preserve">La compétence interculturelle dans les manuels de FLE utilisés en Pologne : analyse comparative de trois méthodes contemporaines</w:t>
      </w:r>
    </w:p>
    <w:p>
      <w:pPr>
        <w:pStyle w:val="Center"/>
      </w:pPr>
      <w:r>
        <w:t xml:space="preserve">Mémoire de master</w:t>
      </w:r>
    </w:p>
    <w:p>
      <w:pPr>
        <w:pStyle w:val="Center"/>
      </w:pPr>
      <w:r>
        <w:t xml:space="preserve">sous la direction de</w:t>
      </w:r>
    </w:p>
    <w:p>
      <w:pPr>
        <w:pStyle w:val="Center"/>
      </w:pPr>
      <w:r>
        <w:t xml:space="preserve">dr hab. ________________</w:t>
      </w:r>
    </w:p>
    <w:p>
      <w:pPr>
        <w:pStyle w:val="Center"/>
      </w:pPr>
      <w:r>
        <w:t xml:space="preserve">Varsovie, 2026</w:t>
      </w:r>
    </w:p>
    <w:p>
      <w:pPr>
        <w:pStyle w:val="Note"/>
      </w:pPr>
      <w:r>
        <w:rPr>
          <w:b/>
          <w:bCs/>
        </w:rPr>
        <w:t xml:space="preserve">Jak korzystać z tego wzoru.</w:t>
      </w:r>
      <w:r>
        <w:t xml:space="preserve"> </w:t>
      </w:r>
      <w:r>
        <w:t xml:space="preserve">To kompletny szkielet pracy magisterskiej z filologii romańskiej w schemacie</w:t>
      </w:r>
      <w:r>
        <w:t xml:space="preserve"> </w:t>
      </w:r>
      <w:r>
        <w:rPr>
          <w:b/>
          <w:bCs/>
        </w:rPr>
        <w:t xml:space="preserve">glottodydaktycznym</w:t>
      </w:r>
      <w:r>
        <w:t xml:space="preserve">: analiza porównawcza podręczników do nauki francuskiego (FLE) pod kątem rozwijania kompetencji interkulturowej, z siatką analizy wyprowadzoną z ESOKJ. Prace z romanistyki pisze się PO FRANCUSKU (stąd francuskie sekcje); polskie adnotacje objaśniają funkcję części — usuń je w swojej pracy. Analiza podręczników to najbardziej wykonalny schemat glottodydaktyczny: materiał leży na półce. Pełne poradniki: praca-magisterska.pl/poradniki/</w:t>
      </w:r>
    </w:p>
    <w:bookmarkStart w:id="20" w:name="résumé"/>
    <w:p>
      <w:pPr>
        <w:pStyle w:val="Heading1"/>
      </w:pPr>
      <w:r>
        <w:t xml:space="preserve">Résumé</w:t>
      </w:r>
    </w:p>
    <w:p>
      <w:pPr>
        <w:pStyle w:val="FirstParagraph"/>
      </w:pPr>
      <w:r>
        <w:t xml:space="preserve">Le présent mémoire analyse la place de la compétence interculturelle dans trois manuels de français langue étrangère (FLE) de niveau B1 utilisés dans les écoles et lycées polonais. Le cadre théorique s’appuie sur le CECRL et son volume complémentaire ainsi que sur les travaux consacrés à la dimension interculturelle en didactique des langues. La grille d’analyse, élaborée à partir de ce cadre, comprend quatre dimensions : (1) les contenus culturels (thèmes, représentation de la francophonie), (2) le traitement des stéréotypes, (3) les activités de décentration et de comparaison avec la culture de l’apprenant, (4) le statut des cultures francophones non hexagonales. L’analyse de 36 unités didactiques (12 par manuel) révèle une nette prédominance de la culture française hexagonale (78% des contenus culturels), un traitement des stéréotypes limité le plus souvent à leur simple évocation et une présence marginale mais croissante d’activités de décentration dans le manuel le plus récent. Le mémoire se termine par des propositions didactiques pour l’exploitation interculturelle des manuels analysés en classe polonaise.</w:t>
      </w:r>
    </w:p>
    <w:p>
      <w:pPr>
        <w:pStyle w:val="BodyText"/>
      </w:pPr>
      <w:r>
        <w:rPr>
          <w:b/>
          <w:bCs/>
        </w:rPr>
        <w:t xml:space="preserve">Mots-clés :</w:t>
      </w:r>
      <w:r>
        <w:t xml:space="preserve"> </w:t>
      </w:r>
      <w:r>
        <w:t xml:space="preserve">compétence interculturelle, FLE, manuels scolaires, CECRL, francophonie.</w:t>
      </w:r>
    </w:p>
    <w:p>
      <w:pPr>
        <w:pStyle w:val="Anno"/>
      </w:pPr>
      <w:r>
        <w:t xml:space="preserve">[Résumé po francusku: przedmiot, rama (ESOKJ/CECRL), siatka analizy z czterema wymiarami, materiał z liczbami (3 podręczniki, 36 jednostek) i wynik z odsetkiem. Uczelnie wymagają zwykle też streszczenia po polsku — sprawdź wytyczne.]</w:t>
      </w:r>
    </w:p>
    <w:bookmarkEnd w:id="20"/>
    <w:bookmarkStart w:id="21" w:name="table-des-matières"/>
    <w:p>
      <w:pPr>
        <w:pStyle w:val="Heading1"/>
      </w:pPr>
      <w:r>
        <w:t xml:space="preserve">Table des matières</w:t>
      </w:r>
    </w:p>
    <w:p>
      <w:pPr>
        <w:pStyle w:val="Note"/>
      </w:pPr>
      <w:r>
        <w:t xml:space="preserve">Introduction</w:t>
      </w:r>
      <w:r>
        <w:t xml:space="preserve"> </w:t>
      </w:r>
    </w:p>
    <w:p>
      <w:pPr>
        <w:pStyle w:val="Note"/>
      </w:pPr>
      <w:r>
        <w:t xml:space="preserve">Chapitre 1. Cadre théorique</w:t>
      </w:r>
      <w:r>
        <w:t xml:space="preserve"> </w:t>
      </w:r>
    </w:p>
    <w:p>
      <w:pPr>
        <w:pStyle w:val="Note"/>
      </w:pPr>
      <w:r>
        <w:t xml:space="preserve">1.1. La compétence interculturelle en didactique des langues</w:t>
      </w:r>
      <w:r>
        <w:t xml:space="preserve"> </w:t>
      </w:r>
    </w:p>
    <w:p>
      <w:pPr>
        <w:pStyle w:val="Note"/>
      </w:pPr>
      <w:r>
        <w:t xml:space="preserve">1.2. Le CECRL et la dimension (inter)culturelle</w:t>
      </w:r>
      <w:r>
        <w:t xml:space="preserve"> </w:t>
      </w:r>
    </w:p>
    <w:p>
      <w:pPr>
        <w:pStyle w:val="Note"/>
      </w:pPr>
      <w:r>
        <w:t xml:space="preserve">1.3. Le manuel de langue comme objet de recherche</w:t>
      </w:r>
      <w:r>
        <w:t xml:space="preserve"> </w:t>
      </w:r>
    </w:p>
    <w:p>
      <w:pPr>
        <w:pStyle w:val="Note"/>
      </w:pPr>
      <w:r>
        <w:t xml:space="preserve">1.4. État des lieux : le FLE en Pologne</w:t>
      </w:r>
      <w:r>
        <w:t xml:space="preserve"> </w:t>
      </w:r>
    </w:p>
    <w:p>
      <w:pPr>
        <w:pStyle w:val="Note"/>
      </w:pPr>
      <w:r>
        <w:t xml:space="preserve">Chapitre 2. Méthodologie</w:t>
      </w:r>
      <w:r>
        <w:t xml:space="preserve"> </w:t>
      </w:r>
    </w:p>
    <w:p>
      <w:pPr>
        <w:pStyle w:val="Note"/>
      </w:pPr>
      <w:r>
        <w:t xml:space="preserve">2.1. Corpus : choix et présentation des manuels</w:t>
      </w:r>
      <w:r>
        <w:t xml:space="preserve"> </w:t>
      </w:r>
    </w:p>
    <w:p>
      <w:pPr>
        <w:pStyle w:val="Note"/>
      </w:pPr>
      <w:r>
        <w:t xml:space="preserve">2.2. La grille d’analyse : dimensions et indicateurs</w:t>
      </w:r>
      <w:r>
        <w:t xml:space="preserve"> </w:t>
      </w:r>
    </w:p>
    <w:p>
      <w:pPr>
        <w:pStyle w:val="Note"/>
      </w:pPr>
      <w:r>
        <w:t xml:space="preserve">2.3. Procédure et limites de la méthode</w:t>
      </w:r>
      <w:r>
        <w:t xml:space="preserve"> </w:t>
      </w:r>
    </w:p>
    <w:p>
      <w:pPr>
        <w:pStyle w:val="Note"/>
      </w:pPr>
      <w:r>
        <w:t xml:space="preserve">Chapitre 3. Analyse comparative</w:t>
      </w:r>
      <w:r>
        <w:t xml:space="preserve"> </w:t>
      </w:r>
    </w:p>
    <w:p>
      <w:pPr>
        <w:pStyle w:val="Note"/>
      </w:pPr>
      <w:r>
        <w:t xml:space="preserve">3.1. Les contenus culturels : thèmes et territoires</w:t>
      </w:r>
      <w:r>
        <w:t xml:space="preserve"> </w:t>
      </w:r>
    </w:p>
    <w:p>
      <w:pPr>
        <w:pStyle w:val="Note"/>
      </w:pPr>
      <w:r>
        <w:t xml:space="preserve">3.2. Le traitement des stéréotypes</w:t>
      </w:r>
      <w:r>
        <w:t xml:space="preserve"> </w:t>
      </w:r>
    </w:p>
    <w:p>
      <w:pPr>
        <w:pStyle w:val="Note"/>
      </w:pPr>
      <w:r>
        <w:t xml:space="preserve">3.3. Les activités de décentration</w:t>
      </w:r>
      <w:r>
        <w:t xml:space="preserve"> </w:t>
      </w:r>
    </w:p>
    <w:p>
      <w:pPr>
        <w:pStyle w:val="Note"/>
      </w:pPr>
      <w:r>
        <w:t xml:space="preserve">3.4. La francophonie au-delà de l’Hexagone</w:t>
      </w:r>
      <w:r>
        <w:t xml:space="preserve"> </w:t>
      </w:r>
    </w:p>
    <w:p>
      <w:pPr>
        <w:pStyle w:val="Note"/>
      </w:pPr>
      <w:r>
        <w:t xml:space="preserve">Chapitre 4. Discussion et propositions didactiques</w:t>
      </w:r>
      <w:r>
        <w:t xml:space="preserve"> </w:t>
      </w:r>
    </w:p>
    <w:p>
      <w:pPr>
        <w:pStyle w:val="Note"/>
      </w:pPr>
      <w:r>
        <w:t xml:space="preserve">Conclusion</w:t>
      </w:r>
      <w:r>
        <w:t xml:space="preserve"> </w:t>
      </w:r>
    </w:p>
    <w:p>
      <w:pPr>
        <w:pStyle w:val="Note"/>
      </w:pPr>
      <w:r>
        <w:t xml:space="preserve">Bibliographie · Corpus analysé · Annexe : grille d’analyse</w:t>
      </w:r>
      <w:r>
        <w:t xml:space="preserve"> </w:t>
      </w:r>
    </w:p>
    <w:bookmarkEnd w:id="21"/>
    <w:bookmarkStart w:id="24" w:name="chapitre-2.-méthodologie"/>
    <w:p>
      <w:pPr>
        <w:pStyle w:val="Heading1"/>
      </w:pPr>
      <w:r>
        <w:t xml:space="preserve">Chapitre 2. Méthodologie</w:t>
      </w:r>
    </w:p>
    <w:bookmarkStart w:id="22" w:name="corpus-choix-et-présentation-des-manuels"/>
    <w:p>
      <w:pPr>
        <w:pStyle w:val="Heading2"/>
      </w:pPr>
      <w:r>
        <w:t xml:space="preserve">2.1. Corpus : choix et présentation des manuels</w:t>
      </w:r>
    </w:p>
    <w:p>
      <w:pPr>
        <w:pStyle w:val="FirstParagraph"/>
      </w:pPr>
      <w:r>
        <w:t xml:space="preserve">Le corpus comprend trois méthodes de FLE de niveau B1 sélectionnées selon trois critères : (1) présence effective dans l’enseignement scolaire polonais (listes de manuels agréés et données des éditeurs), (2) publication ou réédition après 2015, (3) diversité éditoriale (deux éditeurs français, un éditeur polonais). Pour chaque méthode, l’analyse porte sur 12 unités didactiques complètes (livre de l’élève et cahier d’activités), soit 36 unités au total. Les manuels sont désignés dans le mémoire par les sigles M1, M2 et M3.</w:t>
      </w:r>
    </w:p>
    <w:p>
      <w:pPr>
        <w:pStyle w:val="Anno"/>
      </w:pPr>
      <w:r>
        <w:t xml:space="preserve">[Dobór korpusu podręczników: kryteria (faktyczna obecność w polskiej szkole!), zakres analizy (które komponenty, ile jednostek). Anonimizacja podręczników sigłami M1-M3 jest opcjonalna, ale elegancka — unika wrażenia recenzowania wydawców.]</w:t>
      </w:r>
    </w:p>
    <w:bookmarkEnd w:id="22"/>
    <w:bookmarkStart w:id="23" w:name="Xc211012ffc8f6e74bee32eab802528b7f8c6075"/>
    <w:p>
      <w:pPr>
        <w:pStyle w:val="Heading2"/>
      </w:pPr>
      <w:r>
        <w:t xml:space="preserve">2.2. La grille d’analyse : dimensions et indicateurs</w:t>
      </w:r>
    </w:p>
    <w:p>
      <w:pPr>
        <w:pStyle w:val="FirstParagraph"/>
      </w:pPr>
      <w:r>
        <w:t xml:space="preserve">La grille comprend quatre dimensions opérationnalisées en 14 indicateurs observables. À titre d’exemple, la dimension « traitement des stéréotypes » distingue trois niveaux : évocation simple (le stéréotype est présent sans commentaire), thématisation (le stéréotype est nommé comme tel), problématisation (des activités amènent l’apprenant à le questionner). Chaque unité didactique a été codée à l’aide de la grille ; un second codage de 9 unités (25% du corpus) par une enseignante de FLE a donné un taux d’accord de 86%.</w:t>
      </w:r>
    </w:p>
    <w:p>
      <w:pPr>
        <w:pStyle w:val="Anno"/>
      </w:pPr>
      <w:r>
        <w:t xml:space="preserve">[Siatka analizy = klucz kategoryzacyjny glottodydaktyki: wymiary → wskaźniki obserwowalne → poziomy. Drugi koder (nauczycielka FLE) i odsetek zgodności — ten sam standard rzetelności co w analizie zawartości mediów.]</w:t>
      </w:r>
    </w:p>
    <w:bookmarkEnd w:id="23"/>
    <w:bookmarkEnd w:id="24"/>
    <w:bookmarkStart w:id="26" w:name="chapitre-3.-analyse-comparative"/>
    <w:p>
      <w:pPr>
        <w:pStyle w:val="Heading1"/>
      </w:pPr>
      <w:r>
        <w:t xml:space="preserve">Chapitre 3. Analyse comparative</w:t>
      </w:r>
    </w:p>
    <w:bookmarkStart w:id="25" w:name="X6d56a1c17ee521008e13501f2546f6a393a5c3a"/>
    <w:p>
      <w:pPr>
        <w:pStyle w:val="Heading2"/>
      </w:pPr>
      <w:r>
        <w:t xml:space="preserve">3.1. Les contenus culturels : thèmes et territoires</w:t>
      </w:r>
    </w:p>
    <w:p>
      <w:pPr>
        <w:pStyle w:val="FirstParagraph"/>
      </w:pPr>
      <w:r>
        <w:t xml:space="preserve">Les contenus culturels des trois méthodes restent massivement centrés sur la France hexagonale (78% des occurrences culturelles), Paris occupant à lui seul 31% des références territoriales. La francophonie non hexagonale apparaît surtout dans M3, le manuel le plus récent, mais principalement sous forme de capsules informatives, rarement intégrées aux activités langagières.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Dimension</w:t>
            </w:r>
          </w:p>
        </w:tc>
        <w:tc>
          <w:tcPr/>
          <w:p>
            <w:pPr>
              <w:pStyle w:val="Compact"/>
            </w:pPr>
            <w:r>
              <w:t xml:space="preserve">M1</w:t>
            </w:r>
          </w:p>
        </w:tc>
        <w:tc>
          <w:tcPr/>
          <w:p>
            <w:pPr>
              <w:pStyle w:val="Compact"/>
            </w:pPr>
            <w:r>
              <w:t xml:space="preserve">M2</w:t>
            </w:r>
          </w:p>
        </w:tc>
        <w:tc>
          <w:tcPr/>
          <w:p>
            <w:pPr>
              <w:pStyle w:val="Compact"/>
            </w:pPr>
            <w:r>
              <w:t xml:space="preserve">M3</w:t>
            </w:r>
          </w:p>
        </w:tc>
      </w:tr>
      <w:tr>
        <w:tc>
          <w:tcPr/>
          <w:p>
            <w:pPr>
              <w:pStyle w:val="Compact"/>
            </w:pPr>
            <w:r>
              <w:t xml:space="preserve">Contenus hexagonaux</w:t>
            </w:r>
          </w:p>
        </w:tc>
        <w:tc>
          <w:tcPr/>
          <w:p>
            <w:pPr>
              <w:pStyle w:val="Compact"/>
            </w:pPr>
            <w:r>
              <w:t xml:space="preserve">84%</w:t>
            </w:r>
          </w:p>
        </w:tc>
        <w:tc>
          <w:tcPr/>
          <w:p>
            <w:pPr>
              <w:pStyle w:val="Compact"/>
            </w:pPr>
            <w:r>
              <w:t xml:space="preserve">81%</w:t>
            </w:r>
          </w:p>
        </w:tc>
        <w:tc>
          <w:tcPr/>
          <w:p>
            <w:pPr>
              <w:pStyle w:val="Compact"/>
            </w:pPr>
            <w:r>
              <w:t xml:space="preserve">69%</w:t>
            </w:r>
          </w:p>
        </w:tc>
      </w:tr>
      <w:tr>
        <w:tc>
          <w:tcPr/>
          <w:p>
            <w:pPr>
              <w:pStyle w:val="Compact"/>
            </w:pPr>
            <w:r>
              <w:t xml:space="preserve">Francophonie non hexagonale</w:t>
            </w:r>
          </w:p>
        </w:tc>
        <w:tc>
          <w:tcPr/>
          <w:p>
            <w:pPr>
              <w:pStyle w:val="Compact"/>
            </w:pPr>
            <w:r>
              <w:t xml:space="preserve">9%</w:t>
            </w:r>
          </w:p>
        </w:tc>
        <w:tc>
          <w:tcPr/>
          <w:p>
            <w:pPr>
              <w:pStyle w:val="Compact"/>
            </w:pPr>
            <w:r>
              <w:t xml:space="preserve">11%</w:t>
            </w:r>
          </w:p>
        </w:tc>
        <w:tc>
          <w:tcPr/>
          <w:p>
            <w:pPr>
              <w:pStyle w:val="Compact"/>
            </w:pPr>
            <w:r>
              <w:t xml:space="preserve">22%</w:t>
            </w:r>
          </w:p>
        </w:tc>
      </w:tr>
      <w:tr>
        <w:tc>
          <w:tcPr/>
          <w:p>
            <w:pPr>
              <w:pStyle w:val="Compact"/>
            </w:pPr>
            <w:r>
              <w:t xml:space="preserve">Stéréotypes : problématisation</w:t>
            </w:r>
          </w:p>
        </w:tc>
        <w:tc>
          <w:tcPr/>
          <w:p>
            <w:pPr>
              <w:pStyle w:val="Compact"/>
            </w:pPr>
            <w:r>
              <w:t xml:space="preserve">1 unité</w:t>
            </w:r>
          </w:p>
        </w:tc>
        <w:tc>
          <w:tcPr/>
          <w:p>
            <w:pPr>
              <w:pStyle w:val="Compact"/>
            </w:pPr>
            <w:r>
              <w:t xml:space="preserve">0 unités</w:t>
            </w:r>
          </w:p>
        </w:tc>
        <w:tc>
          <w:tcPr/>
          <w:p>
            <w:pPr>
              <w:pStyle w:val="Compact"/>
            </w:pPr>
            <w:r>
              <w:t xml:space="preserve">4 unités</w:t>
            </w:r>
          </w:p>
        </w:tc>
      </w:tr>
      <w:tr>
        <w:tc>
          <w:tcPr/>
          <w:p>
            <w:pPr>
              <w:pStyle w:val="Compact"/>
            </w:pPr>
            <w:r>
              <w:t xml:space="preserve">Activités de décentration</w:t>
            </w:r>
          </w:p>
        </w:tc>
        <w:tc>
          <w:tcPr/>
          <w:p>
            <w:pPr>
              <w:pStyle w:val="Compact"/>
            </w:pPr>
            <w:r>
              <w:t xml:space="preserve">2</w:t>
            </w:r>
          </w:p>
        </w:tc>
        <w:tc>
          <w:tcPr/>
          <w:p>
            <w:pPr>
              <w:pStyle w:val="Compact"/>
            </w:pPr>
            <w:r>
              <w:t xml:space="preserve">1</w:t>
            </w:r>
          </w:p>
        </w:tc>
        <w:tc>
          <w:tcPr/>
          <w:p>
            <w:pPr>
              <w:pStyle w:val="Compact"/>
            </w:pPr>
            <w:r>
              <w:t xml:space="preserve">7</w:t>
            </w:r>
          </w:p>
        </w:tc>
      </w:tr>
    </w:tbl>
    <w:p>
      <w:pPr>
        <w:pStyle w:val="Anno"/>
      </w:pPr>
      <w:r>
        <w:t xml:space="preserve">[Tabela porównawcza trzech podręczników według wymiarów siatki — rdzeń wynikowy. W pełnej pracy każdy wymiar dostaje podrozdział z przykładami konkretnych ćwiczeń (numer jednostki i strony) analizowanymi jakościowo.]</w:t>
      </w:r>
    </w:p>
    <w:bookmarkEnd w:id="25"/>
    <w:bookmarkEnd w:id="26"/>
    <w:bookmarkStart w:id="27" w:name="X71f412ca011f562707d460bfcfe4982c6a078fb"/>
    <w:p>
      <w:pPr>
        <w:pStyle w:val="Heading1"/>
      </w:pPr>
      <w:r>
        <w:t xml:space="preserve">Chapitre 4. Discussion et propositions didactiques</w:t>
      </w:r>
    </w:p>
    <w:p>
      <w:pPr>
        <w:pStyle w:val="FirstParagraph"/>
      </w:pPr>
      <w:r>
        <w:t xml:space="preserve">Les résultats confirment le décalage, signalé dans la littérature, entre les ambitions interculturelles du CECRL et la réalité des manuels : la culture reste principalement un contenu à transmettre plutôt qu’une compétence à construire. L’évolution visible dans M3 suggère toutefois une sensibilité éditoriale croissante. Le mémoire propose en conséquence huit fiches d’exploitation interculturelle adaptées à la classe polonaise, construites sur le matériel existant des trois méthodes (annexe B) — la contribution pratique du travail. Limites : corpus restreint au niveau B1, analyse du manuel sans observation de son usage réel en classe.</w:t>
      </w:r>
    </w:p>
    <w:bookmarkEnd w:id="27"/>
    <w:bookmarkStart w:id="31" w:name="bibliographie-sélection"/>
    <w:p>
      <w:pPr>
        <w:pStyle w:val="Heading1"/>
      </w:pPr>
      <w:r>
        <w:t xml:space="preserve">Bibliographie (sélection)</w:t>
      </w:r>
    </w:p>
    <w:p>
      <w:pPr>
        <w:pStyle w:val="Compact"/>
        <w:numPr>
          <w:ilvl w:val="0"/>
          <w:numId w:val="1001"/>
        </w:numPr>
      </w:pPr>
      <w:r>
        <w:t xml:space="preserve">Conseil de l’Europe,</w:t>
      </w:r>
      <w:r>
        <w:t xml:space="preserve"> </w:t>
      </w:r>
      <w:r>
        <w:rPr>
          <w:i/>
          <w:iCs/>
        </w:rPr>
        <w:t xml:space="preserve">Cadre européen commun de référence pour les langues</w:t>
      </w:r>
      <w:r>
        <w:t xml:space="preserve"> </w:t>
      </w:r>
      <w:r>
        <w:t xml:space="preserve">(avec le volume complémentaire), Paris (édition actuelle).</w:t>
      </w:r>
    </w:p>
    <w:p>
      <w:pPr>
        <w:pStyle w:val="Compact"/>
        <w:numPr>
          <w:ilvl w:val="0"/>
          <w:numId w:val="1001"/>
        </w:numPr>
      </w:pPr>
      <w:r>
        <w:t xml:space="preserve">Byram M.,</w:t>
      </w:r>
      <w:r>
        <w:t xml:space="preserve"> </w:t>
      </w:r>
      <w:r>
        <w:rPr>
          <w:i/>
          <w:iCs/>
        </w:rPr>
        <w:t xml:space="preserve">Teaching and Assessing Intercultural Communicative Competence</w:t>
      </w:r>
      <w:r>
        <w:t xml:space="preserve">, Clevedon 1997.</w:t>
      </w:r>
    </w:p>
    <w:p>
      <w:pPr>
        <w:pStyle w:val="Compact"/>
        <w:numPr>
          <w:ilvl w:val="0"/>
          <w:numId w:val="1001"/>
        </w:numPr>
      </w:pPr>
      <w:r>
        <w:t xml:space="preserve">Zarate G.,</w:t>
      </w:r>
      <w:r>
        <w:t xml:space="preserve"> </w:t>
      </w:r>
      <w:r>
        <w:rPr>
          <w:i/>
          <w:iCs/>
        </w:rPr>
        <w:t xml:space="preserve">Représentations de l’étranger et didactique des langues</w:t>
      </w:r>
      <w:r>
        <w:t xml:space="preserve">, Paris 1993.</w:t>
      </w:r>
    </w:p>
    <w:p>
      <w:pPr>
        <w:pStyle w:val="Anno"/>
      </w:pPr>
      <w:r>
        <w:t xml:space="preserve">[Kanon: CECRL/ESOKJ (rama), Byram (kompetencja interkulturowa), Zarate (perspektywa francuska). Osobno Corpus analysé (pełne opisy bibliograficzne trzech metod z komponentami) i aneks z siatką analizy oraz fiszkami dydaktycznymi.]</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28">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29">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0">
        <w:r>
          <w:rPr>
            <w:rStyle w:val="Hyperlink"/>
            <w:b/>
            <w:bCs/>
          </w:rPr>
          <w:t xml:space="preserve">www.praca-magisterska.pl</w:t>
        </w:r>
      </w:hyperlink>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smart-edu.ai" TargetMode="External" /><Relationship Type="http://schemas.openxmlformats.org/officeDocument/2006/relationships/hyperlink" Id="rId30" Target="https://www.praca-magisterska.pl" TargetMode="External" /><Relationship Type="http://schemas.openxmlformats.org/officeDocument/2006/relationships/hyperlink" Id="rId29"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28" Target="https://smart-edu.ai" TargetMode="External" /><Relationship Type="http://schemas.openxmlformats.org/officeDocument/2006/relationships/hyperlink" Id="rId30" Target="https://www.praca-magisterska.pl" TargetMode="External" /><Relationship Type="http://schemas.openxmlformats.org/officeDocument/2006/relationships/hyperlink" Id="rId29"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2026-07-17T07:09:12Z</dcterms:created>
  <dcterms:modified xsi:type="dcterms:W3CDTF">2026-07-17T07:09:12Z</dcterms:modified>
</cp:coreProperties>
</file>

<file path=docProps/custom.xml><?xml version="1.0" encoding="utf-8"?>
<Properties xmlns="http://schemas.openxmlformats.org/officeDocument/2006/custom-properties" xmlns:vt="http://schemas.openxmlformats.org/officeDocument/2006/docPropsVTypes"/>
</file>