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enter"/>
      </w:pPr>
      <w:r>
        <w:rPr>
          <w:b/>
          <w:bCs/>
        </w:rPr>
        <w:t xml:space="preserve">UNIVERSITÄT ________________</w:t>
      </w:r>
    </w:p>
    <w:p>
      <w:pPr>
        <w:pStyle w:val="Center"/>
      </w:pPr>
      <w:r>
        <w:t xml:space="preserve">Philologische Fakultät — Institut für Germanistik</w:t>
      </w:r>
    </w:p>
    <w:p>
      <w:pPr>
        <w:pStyle w:val="Center"/>
      </w:pPr>
      <w:r>
        <w:rPr>
          <w:b/>
          <w:bCs/>
        </w:rPr>
        <w:t xml:space="preserve">Karolina Wysocka</w:t>
      </w:r>
    </w:p>
    <w:p>
      <w:pPr>
        <w:pStyle w:val="Center"/>
      </w:pPr>
      <w:r>
        <w:t xml:space="preserve">Matrikelnummer 000000</w:t>
      </w:r>
    </w:p>
    <w:p>
      <w:pPr>
        <w:pStyle w:val="Center"/>
      </w:pPr>
      <w:r>
        <w:rPr>
          <w:b/>
          <w:bCs/>
        </w:rPr>
        <w:t xml:space="preserve">Anglizismen in der deutschen Pressesprache: eine korpusbasierte Analyse ausgewählter Wochenzeitungen (2020–2025)</w:t>
      </w:r>
    </w:p>
    <w:p>
      <w:pPr>
        <w:pStyle w:val="Center"/>
      </w:pPr>
      <w:r>
        <w:t xml:space="preserve">Magisterarbeit</w:t>
      </w:r>
    </w:p>
    <w:p>
      <w:pPr>
        <w:pStyle w:val="Center"/>
      </w:pPr>
      <w:r>
        <w:t xml:space="preserve">betreut von</w:t>
      </w:r>
    </w:p>
    <w:p>
      <w:pPr>
        <w:pStyle w:val="Center"/>
      </w:pPr>
      <w:r>
        <w:t xml:space="preserve">dr hab. ________________</w:t>
      </w:r>
    </w:p>
    <w:p>
      <w:pPr>
        <w:pStyle w:val="Center"/>
      </w:pPr>
      <w:r>
        <w:t xml:space="preserve">Wrocław, 2026</w:t>
      </w:r>
    </w:p>
    <w:p>
      <w:pPr>
        <w:pStyle w:val="Note"/>
      </w:pPr>
      <w:r>
        <w:rPr>
          <w:b/>
          <w:bCs/>
        </w:rPr>
        <w:t xml:space="preserve">Jak korzystać z tego wzoru.</w:t>
      </w:r>
      <w:r>
        <w:t xml:space="preserve"> </w:t>
      </w:r>
      <w:r>
        <w:t xml:space="preserve">To kompletny szkielet pracy magisterskiej z filologii germańskiej w schemacie</w:t>
      </w:r>
      <w:r>
        <w:t xml:space="preserve"> </w:t>
      </w:r>
      <w:r>
        <w:rPr>
          <w:b/>
          <w:bCs/>
        </w:rPr>
        <w:t xml:space="preserve">językoznawczej analizy korpusowej</w:t>
      </w:r>
      <w:r>
        <w:t xml:space="preserve"> </w:t>
      </w:r>
      <w:r>
        <w:t xml:space="preserve">— najpopularniejszym na germanistyce obok prac przekładoznawczych i literaturoznawczych. Prace z germanistyki pisze się PO NIEMIECKU (stąd niemieckie sekcje); polskie niebieskie adnotacje objaśniają funkcję każdej części — usuń je w swojej pracy. Ten sam szkielet zaadaptujesz do analizy przekładu lub interpretacji literackiej. Pełne poradniki: praca-magisterska.pl/poradniki/</w:t>
      </w:r>
    </w:p>
    <w:bookmarkStart w:id="20" w:name="zusammenfassung"/>
    <w:p>
      <w:pPr>
        <w:pStyle w:val="Heading1"/>
      </w:pPr>
      <w:r>
        <w:t xml:space="preserve">Zusammenfassung</w:t>
      </w:r>
    </w:p>
    <w:p>
      <w:pPr>
        <w:pStyle w:val="FirstParagraph"/>
      </w:pPr>
      <w:r>
        <w:t xml:space="preserve">Die vorliegende Arbeit untersucht Vorkommen, Struktur und Funktionen von Anglizismen in der deutschen Pressesprache. Das Untersuchungskorpus umfasst 240 Artikel aus zwei überregionalen Wochenzeitungen (Ressorts Wirtschaft und Kultur, 2020–2025), aus denen 1 312 Anglizismus-Belege nach expliziten Kriterien exzerpiert wurden. Die Belege wurden nach Wortart, Integrationsgrad (graphisch, morphologisch) und Funktion (Bezeichnungslücke, Präzision, stilistische Markierung) klassifiziert. Die Analyse zeigt eine deutliche Ressortabhängigkeit: Im Wirtschaftsressort dominieren fachbezogene Substantive mit hoher morphologischer Integration, während im Kulturressort stilistisch motivierte, graphisch nicht integrierte Anglizismen überwiegen. Der Anteil der Belege, die eine echte Bezeichnungslücke füllen, beträgt korpusweit 34%. Die Ergebnisse werden vor dem Hintergrund der Entlehnungsforschung diskutiert und relativieren das publizistische Bild einer „Überfremdung” der Pressesprache.</w:t>
      </w:r>
    </w:p>
    <w:p>
      <w:pPr>
        <w:pStyle w:val="BodyText"/>
      </w:pPr>
      <w:r>
        <w:rPr>
          <w:b/>
          <w:bCs/>
        </w:rPr>
        <w:t xml:space="preserve">Schlüsselwörter:</w:t>
      </w:r>
      <w:r>
        <w:t xml:space="preserve"> </w:t>
      </w:r>
      <w:r>
        <w:t xml:space="preserve">Anglizismen, Pressesprache, Korpusanalyse, Entlehnung, Sprachkontakt.</w:t>
      </w:r>
    </w:p>
    <w:p>
      <w:pPr>
        <w:pStyle w:val="Anno"/>
      </w:pPr>
      <w:r>
        <w:t xml:space="preserve">[Zusammenfassung po niemiecku: przedmiot, korpus z liczbami (240 artykułów → 1312 poświadczeń), kryteria klasyfikacji i główny wynik z odsetkiem. Uczelnie wymagają zwykle także streszczenia po polsku i angielsku — sprawdź wytyczne instytutu.]</w:t>
      </w:r>
    </w:p>
    <w:bookmarkEnd w:id="20"/>
    <w:bookmarkStart w:id="21" w:name="inhaltsverzeichnis"/>
    <w:p>
      <w:pPr>
        <w:pStyle w:val="Heading1"/>
      </w:pPr>
      <w:r>
        <w:t xml:space="preserve">Inhaltsverzeichnis</w:t>
      </w:r>
    </w:p>
    <w:p>
      <w:pPr>
        <w:pStyle w:val="Note"/>
      </w:pPr>
      <w:r>
        <w:t xml:space="preserve">Einleitung</w:t>
      </w:r>
      <w:r>
        <w:t xml:space="preserve"> </w:t>
      </w:r>
    </w:p>
    <w:p>
      <w:pPr>
        <w:pStyle w:val="Note"/>
      </w:pPr>
      <w:r>
        <w:t xml:space="preserve">Kapitel 1. Theoretische Grundlagen</w:t>
      </w:r>
      <w:r>
        <w:t xml:space="preserve"> </w:t>
      </w:r>
    </w:p>
    <w:p>
      <w:pPr>
        <w:pStyle w:val="Note"/>
      </w:pPr>
      <w:r>
        <w:t xml:space="preserve">1.1. Sprachkontakt und Entlehnung: Begriffe und Typologien</w:t>
      </w:r>
      <w:r>
        <w:t xml:space="preserve"> </w:t>
      </w:r>
    </w:p>
    <w:p>
      <w:pPr>
        <w:pStyle w:val="Note"/>
      </w:pPr>
      <w:r>
        <w:t xml:space="preserve">1.2. Anglizismus: Definitionsprobleme und Klassifikationen</w:t>
      </w:r>
      <w:r>
        <w:t xml:space="preserve"> </w:t>
      </w:r>
    </w:p>
    <w:p>
      <w:pPr>
        <w:pStyle w:val="Note"/>
      </w:pPr>
      <w:r>
        <w:t xml:space="preserve">1.3. Forschungsstand: Anglizismen im Deutschen</w:t>
      </w:r>
      <w:r>
        <w:t xml:space="preserve"> </w:t>
      </w:r>
    </w:p>
    <w:p>
      <w:pPr>
        <w:pStyle w:val="Note"/>
      </w:pPr>
      <w:r>
        <w:t xml:space="preserve">1.4. Pressesprache als Untersuchungsgegenstand</w:t>
      </w:r>
      <w:r>
        <w:t xml:space="preserve"> </w:t>
      </w:r>
    </w:p>
    <w:p>
      <w:pPr>
        <w:pStyle w:val="Note"/>
      </w:pPr>
      <w:r>
        <w:t xml:space="preserve">Kapitel 2. Material und Methode</w:t>
      </w:r>
      <w:r>
        <w:t xml:space="preserve"> </w:t>
      </w:r>
    </w:p>
    <w:p>
      <w:pPr>
        <w:pStyle w:val="Note"/>
      </w:pPr>
      <w:r>
        <w:t xml:space="preserve">2.1. Korpuszusammenstellung und Exzerptionskriterien</w:t>
      </w:r>
      <w:r>
        <w:t xml:space="preserve"> </w:t>
      </w:r>
    </w:p>
    <w:p>
      <w:pPr>
        <w:pStyle w:val="Note"/>
      </w:pPr>
      <w:r>
        <w:t xml:space="preserve">2.2. Klassifikationsraster</w:t>
      </w:r>
      <w:r>
        <w:t xml:space="preserve"> </w:t>
      </w:r>
    </w:p>
    <w:p>
      <w:pPr>
        <w:pStyle w:val="Note"/>
      </w:pPr>
      <w:r>
        <w:t xml:space="preserve">2.3. Zweifelsfälle und ihre Behandlung</w:t>
      </w:r>
      <w:r>
        <w:t xml:space="preserve"> </w:t>
      </w:r>
    </w:p>
    <w:p>
      <w:pPr>
        <w:pStyle w:val="Note"/>
      </w:pPr>
      <w:r>
        <w:t xml:space="preserve">Kapitel 3. Analyse</w:t>
      </w:r>
      <w:r>
        <w:t xml:space="preserve"> </w:t>
      </w:r>
    </w:p>
    <w:p>
      <w:pPr>
        <w:pStyle w:val="Note"/>
      </w:pPr>
      <w:r>
        <w:t xml:space="preserve">3.1. Quantitativer Überblick</w:t>
      </w:r>
      <w:r>
        <w:t xml:space="preserve"> </w:t>
      </w:r>
    </w:p>
    <w:p>
      <w:pPr>
        <w:pStyle w:val="Note"/>
      </w:pPr>
      <w:r>
        <w:t xml:space="preserve">3.2. Wortarten und morphologische Integration</w:t>
      </w:r>
      <w:r>
        <w:t xml:space="preserve"> </w:t>
      </w:r>
    </w:p>
    <w:p>
      <w:pPr>
        <w:pStyle w:val="Note"/>
      </w:pPr>
      <w:r>
        <w:t xml:space="preserve">3.3. Funktionen der Anglizismen im Kontext</w:t>
      </w:r>
      <w:r>
        <w:t xml:space="preserve"> </w:t>
      </w:r>
    </w:p>
    <w:p>
      <w:pPr>
        <w:pStyle w:val="Note"/>
      </w:pPr>
      <w:r>
        <w:t xml:space="preserve">3.4. Ressortvergleich</w:t>
      </w:r>
      <w:r>
        <w:t xml:space="preserve"> </w:t>
      </w:r>
    </w:p>
    <w:p>
      <w:pPr>
        <w:pStyle w:val="Note"/>
      </w:pPr>
      <w:r>
        <w:t xml:space="preserve">Kapitel 4. Diskussion der Ergebnisse</w:t>
      </w:r>
      <w:r>
        <w:t xml:space="preserve"> </w:t>
      </w:r>
    </w:p>
    <w:p>
      <w:pPr>
        <w:pStyle w:val="Note"/>
      </w:pPr>
      <w:r>
        <w:t xml:space="preserve">Schlussbemerkungen</w:t>
      </w:r>
      <w:r>
        <w:t xml:space="preserve"> </w:t>
      </w:r>
    </w:p>
    <w:p>
      <w:pPr>
        <w:pStyle w:val="Note"/>
      </w:pPr>
      <w:r>
        <w:t xml:space="preserve">Literaturverzeichnis · Quellenverzeichnis · Anhang: Belegliste</w:t>
      </w:r>
      <w:r>
        <w:t xml:space="preserve"> </w:t>
      </w:r>
    </w:p>
    <w:bookmarkEnd w:id="21"/>
    <w:bookmarkStart w:id="24" w:name="kapitel-2.-material-und-methode"/>
    <w:p>
      <w:pPr>
        <w:pStyle w:val="Heading1"/>
      </w:pPr>
      <w:r>
        <w:t xml:space="preserve">Kapitel 2. Material und Methode</w:t>
      </w:r>
    </w:p>
    <w:bookmarkStart w:id="22" w:name="Xe905a292f5936ea6fba2256d965b6169d309cc0"/>
    <w:p>
      <w:pPr>
        <w:pStyle w:val="Heading2"/>
      </w:pPr>
      <w:r>
        <w:t xml:space="preserve">2.1. Korpuszusammenstellung und Exzerptionskriterien</w:t>
      </w:r>
    </w:p>
    <w:p>
      <w:pPr>
        <w:pStyle w:val="FirstParagraph"/>
      </w:pPr>
      <w:r>
        <w:t xml:space="preserve">Das Korpus wurde aus den elektronischen Archiven zweier überregionaler Wochenzeitungen zusammengestellt: je 20 Artikel pro Jahr und Ressort (Wirtschaft, Kultur) aus den Jahrgängen 2020–2025, insgesamt 240 Artikel mit einem Umfang von rund 310 000 Wörtern. Als Anglizismus wurde jede lexikalische Einheit erfasst, die (1) nachweislich aus dem Englischen entlehnt ist (Referenzwörterbücher als Autorität), (2) im Text als Lexem und nicht als Eigenname fungiert und (3) kein etabliertes Fremdwort älterer Entlehnungsschichten darstellt. Eigennamen, Zitatwörter in Anführungszeichen und Werbeslogans wurden ausgeschlossen. Die Exzerption ergab 1 312 Belege (Types: 487).</w:t>
      </w:r>
    </w:p>
    <w:p>
      <w:pPr>
        <w:pStyle w:val="Anno"/>
      </w:pPr>
      <w:r>
        <w:t xml:space="preserve">[Warsztat korpusowy: skład korpusu z liczbami (artykuły, słowa), definicja operacyjna jednostki (co JEST anglicyzmem, a co nie — z autorytetem słownikowym), wykluczenia, wynik ekscerpcji z rozróżnieniem types/tokens. To filologiczny odpowiednik „doboru próby”.]</w:t>
      </w:r>
    </w:p>
    <w:bookmarkEnd w:id="22"/>
    <w:bookmarkStart w:id="23" w:name="zweifelsfälle-und-ihre-behandlung"/>
    <w:p>
      <w:pPr>
        <w:pStyle w:val="Heading2"/>
      </w:pPr>
      <w:r>
        <w:t xml:space="preserve">2.3. Zweifelsfälle und ihre Behandlung</w:t>
      </w:r>
    </w:p>
    <w:p>
      <w:pPr>
        <w:pStyle w:val="FirstParagraph"/>
      </w:pPr>
      <w:r>
        <w:t xml:space="preserve">Zweifelsfälle (u.a. Scheinanglizismen wie</w:t>
      </w:r>
      <w:r>
        <w:t xml:space="preserve"> </w:t>
      </w:r>
      <w:r>
        <w:rPr>
          <w:i/>
          <w:iCs/>
        </w:rPr>
        <w:t xml:space="preserve">Handy</w:t>
      </w:r>
      <w:r>
        <w:t xml:space="preserve">, Hybridbildungen wie</w:t>
      </w:r>
      <w:r>
        <w:t xml:space="preserve"> </w:t>
      </w:r>
      <w:r>
        <w:rPr>
          <w:i/>
          <w:iCs/>
        </w:rPr>
        <w:t xml:space="preserve">Krisenmeeting</w:t>
      </w:r>
      <w:r>
        <w:t xml:space="preserve">) wurden in einer gesonderten Liste dokumentiert und nach festen Regeln behandelt: Scheinanglizismen blieben im Korpus (englische Form, deutsche Semantik — für die Funktionsanalyse relevant), Hybridbildungen wurden als eigene Kategorie klassifiziert. Insgesamt betrafen Zweifelsfälle 7% der Belege; ihre Liste findet sich im Anhang.</w:t>
      </w:r>
    </w:p>
    <w:bookmarkEnd w:id="23"/>
    <w:bookmarkEnd w:id="24"/>
    <w:bookmarkStart w:id="27" w:name="kapitel-3.-analyse"/>
    <w:p>
      <w:pPr>
        <w:pStyle w:val="Heading1"/>
      </w:pPr>
      <w:r>
        <w:t xml:space="preserve">Kapitel 3. Analyse</w:t>
      </w:r>
    </w:p>
    <w:bookmarkStart w:id="25" w:name="wortarten-und-morphologische-integration"/>
    <w:p>
      <w:pPr>
        <w:pStyle w:val="Heading2"/>
      </w:pPr>
      <w:r>
        <w:t xml:space="preserve">3.2. Wortarten und morphologische Integration</w:t>
      </w:r>
    </w:p>
    <w:p>
      <w:pPr>
        <w:pStyle w:val="FirstParagraph"/>
      </w:pPr>
      <w:r>
        <w:t xml:space="preserve">Substantive dominieren das Korpus (78% der Belege), gefolgt von Verben (12%) und Adjektiven (8%). Die morphologische Integration ist bei Verben am weitesten fortgeschritten: 94% der verbalen Belege erscheinen mit deutscher Flexion (</w:t>
      </w:r>
      <w:r>
        <w:rPr>
          <w:i/>
          <w:iCs/>
        </w:rPr>
        <w:t xml:space="preserve">downloaden</w:t>
      </w:r>
      <w:r>
        <w:t xml:space="preserve"> </w:t>
      </w:r>
      <w:r>
        <w:t xml:space="preserve">→</w:t>
      </w:r>
      <w:r>
        <w:t xml:space="preserve"> </w:t>
      </w:r>
      <w:r>
        <w:rPr>
          <w:i/>
          <w:iCs/>
        </w:rPr>
        <w:t xml:space="preserve">downgeloadet</w:t>
      </w:r>
      <w:r>
        <w:t xml:space="preserve">), während Substantive überwiegend englische Pluralformen bewahren. Graphische Integration (Großschreibung, Bindestrich in Komposita) betrifft 61% der substantivischen Belege.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Kategorie</w:t>
            </w:r>
          </w:p>
        </w:tc>
        <w:tc>
          <w:tcPr/>
          <w:p>
            <w:pPr>
              <w:pStyle w:val="Compact"/>
            </w:pPr>
            <w:r>
              <w:t xml:space="preserve">Anteil der Belege</w:t>
            </w:r>
          </w:p>
        </w:tc>
        <w:tc>
          <w:tcPr/>
          <w:p>
            <w:pPr>
              <w:pStyle w:val="Compact"/>
            </w:pPr>
            <w:r>
              <w:t xml:space="preserve">Dominantes Integrationsmuster</w:t>
            </w:r>
          </w:p>
        </w:tc>
      </w:tr>
      <w:tr>
        <w:tc>
          <w:tcPr/>
          <w:p>
            <w:pPr>
              <w:pStyle w:val="Compact"/>
            </w:pPr>
            <w:r>
              <w:t xml:space="preserve">Substantive</w:t>
            </w:r>
          </w:p>
        </w:tc>
        <w:tc>
          <w:tcPr/>
          <w:p>
            <w:pPr>
              <w:pStyle w:val="Compact"/>
            </w:pPr>
            <w:r>
              <w:t xml:space="preserve">78%</w:t>
            </w:r>
          </w:p>
        </w:tc>
        <w:tc>
          <w:tcPr/>
          <w:p>
            <w:pPr>
              <w:pStyle w:val="Compact"/>
            </w:pPr>
            <w:r>
              <w:t xml:space="preserve">Großschreibung, engl. Plural</w:t>
            </w:r>
          </w:p>
        </w:tc>
      </w:tr>
      <w:tr>
        <w:tc>
          <w:tcPr/>
          <w:p>
            <w:pPr>
              <w:pStyle w:val="Compact"/>
            </w:pPr>
            <w:r>
              <w:t xml:space="preserve">Verben</w:t>
            </w:r>
          </w:p>
        </w:tc>
        <w:tc>
          <w:tcPr/>
          <w:p>
            <w:pPr>
              <w:pStyle w:val="Compact"/>
            </w:pPr>
            <w:r>
              <w:t xml:space="preserve">12%</w:t>
            </w:r>
          </w:p>
        </w:tc>
        <w:tc>
          <w:tcPr/>
          <w:p>
            <w:pPr>
              <w:pStyle w:val="Compact"/>
            </w:pPr>
            <w:r>
              <w:t xml:space="preserve">deutsche Flexion (94%)</w:t>
            </w:r>
          </w:p>
        </w:tc>
      </w:tr>
      <w:tr>
        <w:tc>
          <w:tcPr/>
          <w:p>
            <w:pPr>
              <w:pStyle w:val="Compact"/>
            </w:pPr>
            <w:r>
              <w:t xml:space="preserve">Adjektive</w:t>
            </w:r>
          </w:p>
        </w:tc>
        <w:tc>
          <w:tcPr/>
          <w:p>
            <w:pPr>
              <w:pStyle w:val="Compact"/>
            </w:pPr>
            <w:r>
              <w:t xml:space="preserve">8%</w:t>
            </w:r>
          </w:p>
        </w:tc>
        <w:tc>
          <w:tcPr/>
          <w:p>
            <w:pPr>
              <w:pStyle w:val="Compact"/>
            </w:pPr>
            <w:r>
              <w:t xml:space="preserve">prädikativ, unflektiert</w:t>
            </w:r>
          </w:p>
        </w:tc>
      </w:tr>
      <w:tr>
        <w:tc>
          <w:tcPr/>
          <w:p>
            <w:pPr>
              <w:pStyle w:val="Compact"/>
            </w:pPr>
            <w:r>
              <w:t xml:space="preserve">Hybridbildungen</w:t>
            </w:r>
          </w:p>
        </w:tc>
        <w:tc>
          <w:tcPr/>
          <w:p>
            <w:pPr>
              <w:pStyle w:val="Compact"/>
            </w:pPr>
            <w:r>
              <w:t xml:space="preserve">2%</w:t>
            </w:r>
          </w:p>
        </w:tc>
        <w:tc>
          <w:tcPr/>
          <w:p>
            <w:pPr>
              <w:pStyle w:val="Compact"/>
            </w:pPr>
            <w:r>
              <w:t xml:space="preserve">dt. Grundwort + engl. Bestimmungswort</w:t>
            </w:r>
          </w:p>
        </w:tc>
      </w:tr>
    </w:tbl>
    <w:p>
      <w:pPr>
        <w:pStyle w:val="Anno"/>
      </w:pPr>
      <w:r>
        <w:t xml:space="preserve">[Tabela ilościowa + przykłady w kursywie (konwencja lingwistyczna: analizowane formy kursywą, znaczenia w „łapkach”). W pełnej pracy każda kategoria dostaje podrozdział z analizą przykładów w kontekście — trzy ruchy: poświadczenie → klasyfikacja → interpretacja funkcji.]</w:t>
      </w:r>
    </w:p>
    <w:bookmarkEnd w:id="25"/>
    <w:bookmarkStart w:id="26" w:name="funktionen-der-anglizismen-im-kontext"/>
    <w:p>
      <w:pPr>
        <w:pStyle w:val="Heading2"/>
      </w:pPr>
      <w:r>
        <w:t xml:space="preserve">3.3. Funktionen der Anglizismen im Kontext</w:t>
      </w:r>
    </w:p>
    <w:p>
      <w:pPr>
        <w:pStyle w:val="FirstParagraph"/>
      </w:pPr>
      <w:r>
        <w:t xml:space="preserve">Die funktionale Analyse zeigt, dass 34% der Belege eine Bezeichnungslücke füllen (v.a. Fachlexik der Digitalwirtschaft), 41% der Präzision oder Kürze dienen und 25% primär stilistisch motiviert sind (Modernitätsmarkierung, Gruppensprache). Ein wiederkehrendes Muster im Kulturressort ist der bewusst inszenierte Kontrast zwischen Anglizismus und gehobener deutscher Lexik — ein Befund, der die stilistische Funktion der Entlehnung über die bloße „Bequemlichkeit” hinaushebt.</w:t>
      </w:r>
    </w:p>
    <w:bookmarkEnd w:id="26"/>
    <w:bookmarkEnd w:id="27"/>
    <w:bookmarkStart w:id="28" w:name="kapitel-4.-diskussion-der-ergebnisse"/>
    <w:p>
      <w:pPr>
        <w:pStyle w:val="Heading1"/>
      </w:pPr>
      <w:r>
        <w:t xml:space="preserve">Kapitel 4. Diskussion der Ergebnisse</w:t>
      </w:r>
    </w:p>
    <w:p>
      <w:pPr>
        <w:pStyle w:val="FirstParagraph"/>
      </w:pPr>
      <w:r>
        <w:t xml:space="preserve">Die ressortspezifische Verteilung bestätigt den Befund der Entlehnungsforschung, dass Anglizismengebrauch primär domänen- und funktionsgebunden ist. Der korpusweit moderate Anteil rein stilistischer Verwendungen relativiert das publizistische Bild einer „Anglisierung” der Pressesprache: Der Großteil der Belege erfüllt referenzielle Funktionen. Grenzen der Arbeit: zwei Zeitungen (keine Boulevardpresse), Beschränkung auf zwei Ressorts sowie die lexikographische Abhängigkeit der Anglizismus-Definition. Anschlussfragen betreffen diachrone Vergleiche mit älteren Korpora und die Rezeption durch Leser.</w:t>
      </w:r>
    </w:p>
    <w:bookmarkEnd w:id="28"/>
    <w:bookmarkStart w:id="32" w:name="literaturverzeichnis-auswahl"/>
    <w:p>
      <w:pPr>
        <w:pStyle w:val="Heading1"/>
      </w:pPr>
      <w:r>
        <w:t xml:space="preserve">Literaturverzeichnis (Auswahl)</w:t>
      </w:r>
    </w:p>
    <w:p>
      <w:pPr>
        <w:pStyle w:val="Compact"/>
        <w:numPr>
          <w:ilvl w:val="0"/>
          <w:numId w:val="1001"/>
        </w:numPr>
      </w:pPr>
      <w:r>
        <w:t xml:space="preserve">Busse U., Görlach M.,</w:t>
      </w:r>
      <w:r>
        <w:t xml:space="preserve"> </w:t>
      </w:r>
      <w:r>
        <w:rPr>
          <w:i/>
          <w:iCs/>
        </w:rPr>
        <w:t xml:space="preserve">German</w:t>
      </w:r>
      <w:r>
        <w:t xml:space="preserve">, w: M. Görlach (red.),</w:t>
      </w:r>
      <w:r>
        <w:t xml:space="preserve"> </w:t>
      </w:r>
      <w:r>
        <w:rPr>
          <w:i/>
          <w:iCs/>
        </w:rPr>
        <w:t xml:space="preserve">English in Europe</w:t>
      </w:r>
      <w:r>
        <w:t xml:space="preserve">, Oxford 2002.</w:t>
      </w:r>
    </w:p>
    <w:p>
      <w:pPr>
        <w:pStyle w:val="Compact"/>
        <w:numPr>
          <w:ilvl w:val="0"/>
          <w:numId w:val="1001"/>
        </w:numPr>
      </w:pPr>
      <w:r>
        <w:t xml:space="preserve">Eisenberg P.,</w:t>
      </w:r>
      <w:r>
        <w:t xml:space="preserve"> </w:t>
      </w:r>
      <w:r>
        <w:rPr>
          <w:i/>
          <w:iCs/>
        </w:rPr>
        <w:t xml:space="preserve">Das Fremdwort im Deutschen</w:t>
      </w:r>
      <w:r>
        <w:t xml:space="preserve">, Berlin/New York (aktualne wydanie).</w:t>
      </w:r>
    </w:p>
    <w:p>
      <w:pPr>
        <w:pStyle w:val="Compact"/>
        <w:numPr>
          <w:ilvl w:val="0"/>
          <w:numId w:val="1001"/>
        </w:numPr>
      </w:pPr>
      <w:r>
        <w:t xml:space="preserve">Lipczuk R.,</w:t>
      </w:r>
      <w:r>
        <w:t xml:space="preserve"> </w:t>
      </w:r>
      <w:r>
        <w:rPr>
          <w:i/>
          <w:iCs/>
        </w:rPr>
        <w:t xml:space="preserve">Geschichte und Gegenwart des Fremdwortpurismus in Deutschland und Polen</w:t>
      </w:r>
      <w:r>
        <w:t xml:space="preserve">, Frankfurt am Main 2007.</w:t>
      </w:r>
    </w:p>
    <w:p>
      <w:pPr>
        <w:pStyle w:val="Anno"/>
      </w:pPr>
      <w:r>
        <w:t xml:space="preserve">[Bibliografia w konwencji germanistycznej (autor-rok lub przypisy — według wytycznych instytutu). Osobno Quellenverzeichnis (wykaz analizowanych numerów gazet z datami) i aneks z pełną listą poświadczeń — recenzent będzie go kartkował.]</w:t>
      </w:r>
    </w:p>
    <w:p>
      <w:r>
        <w:br w:type="page"/>
      </w:r>
    </w:p>
    <w:p>
      <w:pPr>
        <w:pStyle w:val="Center"/>
      </w:pPr>
      <w:r>
        <w:rPr>
          <w:b/>
          <w:bCs/>
        </w:rPr>
        <w:t xml:space="preserve">O tym wzorze</w:t>
      </w:r>
    </w:p>
    <w:p>
      <w:pPr>
        <w:pStyle w:val="BodyText"/>
      </w:pPr>
      <w:r>
        <w:t xml:space="preserve">Wzór przygotowała redakcja serwisu</w:t>
      </w:r>
      <w:r>
        <w:t xml:space="preserve"> </w:t>
      </w:r>
      <w:r>
        <w:rPr>
          <w:b/>
          <w:bCs/>
        </w:rPr>
        <w:t xml:space="preserve">praca-magisterska.pl</w:t>
      </w:r>
      <w:r>
        <w:t xml:space="preserve">. Możesz swobodnie wykorzystać jego strukturę, tabele i przypisy we własnej pracy. Pamiętaj tylko, żeby treść dostosować do wymagań swojego promotora i uczelni.</w:t>
      </w:r>
    </w:p>
    <w:p>
      <w:pPr>
        <w:pStyle w:val="Note"/>
      </w:pPr>
      <w:r>
        <w:rPr>
          <w:b/>
          <w:bCs/>
        </w:rPr>
        <w:t xml:space="preserve">Smart-Edu.ai — pierwsza wersja pracy w kilka godzin, nie w kilka miesięcy</w:t>
      </w:r>
    </w:p>
    <w:p>
      <w:pPr>
        <w:pStyle w:val="Note"/>
      </w:pPr>
      <w:r>
        <w:t xml:space="preserve">Podajesz temat, kierunek studiów i wytyczne promotora, a sztuczna inteligencja generuje unikalny, gotowy do edycji tekst: z poprawną strukturą rozdziałów, przypisami i bibliografią. Rejestracja jest darmowa, płacisz wyłącznie za wygenerowany tekst.</w:t>
      </w:r>
    </w:p>
    <w:p>
      <w:pPr>
        <w:pStyle w:val="Note"/>
      </w:pPr>
      <w:hyperlink r:id="rId29">
        <w:r>
          <w:rPr>
            <w:rStyle w:val="Hyperlink"/>
            <w:b/>
            <w:bCs/>
          </w:rPr>
          <w:t xml:space="preserve">www.smart-edu.ai</w:t>
        </w:r>
      </w:hyperlink>
    </w:p>
    <w:p>
      <w:pPr>
        <w:pStyle w:val="BodyText"/>
      </w:pPr>
      <w:r>
        <w:t xml:space="preserve">Wolisz napisać pracę w pełni samodzielnie? Pomoże Ci ebook</w:t>
      </w:r>
      <w:r>
        <w:t xml:space="preserve"> </w:t>
      </w:r>
      <w:r>
        <w:rPr>
          <w:b/>
          <w:bCs/>
        </w:rPr>
        <w:t xml:space="preserve">„Jak napisać pracę magisterską. Kompletny przewodnik od A do Z”</w:t>
      </w:r>
      <w:r>
        <w:t xml:space="preserve"> </w:t>
      </w:r>
      <w:r>
        <w:t xml:space="preserve">— 250 stron praktycznych wskazówek, szablonów i checklist, z rozdziałem o etycznym korzystaniu z AI:</w:t>
      </w:r>
      <w:r>
        <w:t xml:space="preserve"> </w:t>
      </w:r>
      <w:hyperlink r:id="rId30">
        <w:r>
          <w:rPr>
            <w:rStyle w:val="Hyperlink"/>
          </w:rPr>
          <w:t xml:space="preserve">www.praca-magisterska.pl/sklep/praca-magisterska-ebook/</w:t>
        </w:r>
      </w:hyperlink>
    </w:p>
    <w:p>
      <w:pPr>
        <w:pStyle w:val="Center"/>
      </w:pPr>
      <w:r>
        <w:rPr>
          <w:i/>
          <w:iCs/>
        </w:rPr>
        <w:t xml:space="preserve">Darmowe poradniki, wzory i ponad 2500 tematów prac:</w:t>
      </w:r>
      <w:r>
        <w:t xml:space="preserve"> </w:t>
      </w:r>
      <w:hyperlink r:id="rId31">
        <w:r>
          <w:rPr>
            <w:rStyle w:val="Hyperlink"/>
            <w:b/>
            <w:bCs/>
          </w:rPr>
          <w:t xml:space="preserve">www.praca-magisterska.pl</w:t>
        </w:r>
      </w:hyperlink>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Times New Roman" w:hAnsi="Times New Roman"/>
        <w:sz w:val="24"/>
        <w:szCs w:val="24"/>
        <w:lang w:bidi="ar-SA" w:eastAsia="pl-PL" w:val="pl-PL"/>
      </w:rPr>
    </w:rPrDefault>
    <w:pPrDefault>
      <w:pPr>
        <w:spacing w:after="120" w:line="360" w:lineRule="auto"/>
        <w:jc w:val="both"/>
      </w:pPr>
    </w:pPrDefault>
  </w:docDefaults>
  <w:latentStyles w:count="276" w:defLockedState="0" w:defQFormat="0" w:defSemiHidden="0" w:defUIPriority="0" w:defUnhideWhenUsed="0"/>
  <w:style w:default="1" w:styleId="Normal" w:type="paragraph">
    <w:name w:val="Normal"/>
    <w:qFormat/>
  </w:style>
  <w:style w:customStyle="1" w:styleId="Center" w:type="paragraph">
    <w:name w:val="Center"/>
    <w:basedOn w:val="Normal"/>
    <w:pPr>
      <w:spacing w:after="60" w:line="276" w:lineRule="auto"/>
      <w:jc w:val="center"/>
    </w:pPr>
  </w:style>
  <w:style w:customStyle="1" w:styleId="Right" w:type="paragraph">
    <w:name w:val="Right"/>
    <w:basedOn w:val="Normal"/>
    <w:pPr>
      <w:jc w:val="right"/>
    </w:pPr>
  </w:style>
  <w:style w:customStyle="1" w:styleId="Anno" w:type="paragraph">
    <w:name w:val="Anno"/>
    <w:basedOn w:val="Normal"/>
    <w:pPr>
      <w:spacing w:after="20" w:before="80" w:line="240" w:lineRule="auto"/>
      <w:ind w:firstLine="0"/>
      <w:jc w:val="left"/>
    </w:pPr>
    <w:rPr>
      <w:rFonts w:ascii="Arial" w:cs="Arial" w:hAnsi="Arial"/>
      <w:i/>
      <w:color w:val="4F46E5"/>
      <w:sz w:val="19"/>
      <w:szCs w:val="19"/>
    </w:rPr>
  </w:style>
  <w:style w:customStyle="1" w:styleId="Note" w:type="paragraph">
    <w:name w:val="Note"/>
    <w:basedOn w:val="Normal"/>
    <w:pPr>
      <w:pBdr>
        <w:top w:color="C7D2FE" w:space="6" w:sz="4" w:val="single"/>
        <w:left w:color="C7D2FE" w:space="6" w:sz="4" w:val="single"/>
        <w:bottom w:color="C7D2FE" w:space="6" w:sz="4" w:val="single"/>
        <w:right w:color="C7D2FE" w:space="6" w:sz="4" w:val="single"/>
      </w:pBdr>
      <w:shd w:color="auto" w:fill="F5F7FF" w:val="clear"/>
      <w:spacing w:after="120" w:before="120" w:line="276" w:lineRule="auto"/>
      <w:ind w:firstLine="0"/>
      <w:jc w:val="left"/>
    </w:pPr>
    <w:rPr>
      <w:rFonts w:ascii="Arial" w:cs="Arial" w:hAnsi="Arial"/>
      <w:sz w:val="19"/>
      <w:szCs w:val="19"/>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smart-edu.ai" TargetMode="External" /><Relationship Type="http://schemas.openxmlformats.org/officeDocument/2006/relationships/hyperlink" Id="rId31" Target="https://www.praca-magisterska.pl" TargetMode="External" /><Relationship Type="http://schemas.openxmlformats.org/officeDocument/2006/relationships/hyperlink" Id="rId30" Target="https://www.praca-magisterska.pl/sklep/praca-magisterska-ebook/" TargetMode="External" /></Relationships>
</file>

<file path=word/_rels/footnotes.xml.rels><?xml version="1.0" encoding="UTF-8"?><Relationships xmlns="http://schemas.openxmlformats.org/package/2006/relationships"><Relationship Type="http://schemas.openxmlformats.org/officeDocument/2006/relationships/hyperlink" Id="rId29" Target="https://smart-edu.ai" TargetMode="External" /><Relationship Type="http://schemas.openxmlformats.org/officeDocument/2006/relationships/hyperlink" Id="rId31" Target="https://www.praca-magisterska.pl" TargetMode="External" /><Relationship Type="http://schemas.openxmlformats.org/officeDocument/2006/relationships/hyperlink" Id="rId30" Target="https://www.praca-magisterska.pl/sklep/praca-magisterska-e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2026-07-17T07:09:17Z</dcterms:created>
  <dcterms:modified xsi:type="dcterms:W3CDTF">2026-07-17T07:09:17Z</dcterms:modified>
</cp:coreProperties>
</file>

<file path=docProps/custom.xml><?xml version="1.0" encoding="utf-8"?>
<Properties xmlns="http://schemas.openxmlformats.org/officeDocument/2006/custom-properties" xmlns:vt="http://schemas.openxmlformats.org/officeDocument/2006/docPropsVTypes"/>
</file>