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УНИВЕРСИТЕТ ________________</w:t>
      </w:r>
    </w:p>
    <w:p>
      <w:pPr>
        <w:pStyle w:val="Center"/>
      </w:pPr>
      <w:r>
        <w:t xml:space="preserve">Филологический факультет — Институт русистики</w:t>
      </w:r>
    </w:p>
    <w:p>
      <w:pPr>
        <w:pStyle w:val="Center"/>
      </w:pPr>
      <w:r>
        <w:rPr>
          <w:b/>
          <w:bCs/>
        </w:rPr>
        <w:t xml:space="preserve">Julia Krupa</w:t>
      </w:r>
    </w:p>
    <w:p>
      <w:pPr>
        <w:pStyle w:val="Center"/>
      </w:pPr>
      <w:r>
        <w:t xml:space="preserve">номер альбома 000000</w:t>
      </w:r>
    </w:p>
    <w:p>
      <w:pPr>
        <w:pStyle w:val="Center"/>
      </w:pPr>
      <w:r>
        <w:rPr>
          <w:b/>
          <w:bCs/>
        </w:rPr>
        <w:t xml:space="preserve">Советские реалии в польском переводе современной русской прозы: стратегии передачи безэквивалентной лексики</w:t>
      </w:r>
    </w:p>
    <w:p>
      <w:pPr>
        <w:pStyle w:val="Center"/>
      </w:pPr>
      <w:r>
        <w:t xml:space="preserve">Магистерская диссертация</w:t>
      </w:r>
    </w:p>
    <w:p>
      <w:pPr>
        <w:pStyle w:val="Center"/>
      </w:pPr>
      <w:r>
        <w:t xml:space="preserve">научный руководитель:</w:t>
      </w:r>
    </w:p>
    <w:p>
      <w:pPr>
        <w:pStyle w:val="Center"/>
      </w:pPr>
      <w:r>
        <w:t xml:space="preserve">dr hab. ________________</w:t>
      </w:r>
    </w:p>
    <w:p>
      <w:pPr>
        <w:pStyle w:val="Center"/>
      </w:pPr>
      <w:r>
        <w:t xml:space="preserve">Варшава,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filologii rosyjskiej w schemacie</w:t>
      </w:r>
      <w:r>
        <w:t xml:space="preserve"> </w:t>
      </w:r>
      <w:r>
        <w:rPr>
          <w:b/>
          <w:bCs/>
        </w:rPr>
        <w:t xml:space="preserve">analizy przekładu literackiego</w:t>
      </w:r>
      <w:r>
        <w:t xml:space="preserve">: realia (leksyka bezekwiwalentna) w prozie rosyjskiej i strategie ich przekazu w polskim tłumaczeniu. Prace z rusycystyki pisze się PO ROSYJSKU (stąd rosyjskie sekcje); polskie adnotacje objaśniają funkcję części — usuń je w swojej pracy. Kategoria realiów to klasyka rosyjskiego przekładoznawstwa (Влахов i Флорин) — naturalna rama dla par rosyjsko-polskich. Pełne poradniki: praca-magisterska.pl/poradniki/</w:t>
      </w:r>
    </w:p>
    <w:bookmarkStart w:id="20" w:name="аннотация"/>
    <w:p>
      <w:pPr>
        <w:pStyle w:val="Heading1"/>
      </w:pPr>
      <w:r>
        <w:t xml:space="preserve">Аннотация</w:t>
      </w:r>
    </w:p>
    <w:p>
      <w:pPr>
        <w:pStyle w:val="FirstParagraph"/>
      </w:pPr>
      <w:r>
        <w:t xml:space="preserve">Предметом настоящей работы являются стратегии передачи советских реалий в польском переводе современной русской прозы. Материалом исследования послужила пара текстов: роман, действие которого происходит в позднесоветскую эпоху, и его опубликованный польский перевод. Методом сплошной выборки из оригинала извлечено 168 единиц безэквивалентной лексики (реалии быта, общественно-политические, ономастические), которые сопоставлены с переводческими решениями и классифицированы по адаптированной типологии приёмов передачи реалий (транскрипция, калькирование, приблизительный перевод, описательный перевод, опущение). Анализ показывает преобладание приблизительного перевода (39%) и описательных решений (24%); транскрипция сохраняется преимущественно за реалиями, уже укоренившимися в польском языке. Выявлена последовательная стратегия одомашнивания бытовых реалий при сохранении колорита реалий общественно-политических — асимметрия, отражающая близость славянских культур при различии исторического опыта. Работа вписывается в исследования безэквивалентной лексики и русско-польского художественного перевода.</w:t>
      </w:r>
    </w:p>
    <w:p>
      <w:pPr>
        <w:pStyle w:val="BodyText"/>
      </w:pPr>
      <w:r>
        <w:rPr>
          <w:b/>
          <w:bCs/>
        </w:rPr>
        <w:t xml:space="preserve">Ключевые слова:</w:t>
      </w:r>
      <w:r>
        <w:t xml:space="preserve"> </w:t>
      </w:r>
      <w:r>
        <w:t xml:space="preserve">реалии, безэквивалентная лексика, художественный перевод, русско-польский перевод, стратегии перевода.</w:t>
      </w:r>
    </w:p>
    <w:p>
      <w:pPr>
        <w:pStyle w:val="Anno"/>
      </w:pPr>
      <w:r>
        <w:t xml:space="preserve">[Annotacija po rosyjsku: przedmiot, materiał (para tekstów), metoda sploszной wyborki z liczbą jednostek (168), typologia przyjęta do klasyfikacji i główny wynik z odsetkami. Uczelnie wymagają zwykle także streszczenia po polsku — sprawdź wytyczne instytutu.]</w:t>
      </w:r>
    </w:p>
    <w:bookmarkEnd w:id="20"/>
    <w:bookmarkStart w:id="21" w:name="оглавление"/>
    <w:p>
      <w:pPr>
        <w:pStyle w:val="Heading1"/>
      </w:pPr>
      <w:r>
        <w:t xml:space="preserve">Оглавление</w:t>
      </w:r>
    </w:p>
    <w:p>
      <w:pPr>
        <w:pStyle w:val="Note"/>
      </w:pPr>
      <w:r>
        <w:t xml:space="preserve">Введение</w:t>
      </w:r>
      <w:r>
        <w:t xml:space="preserve"> </w:t>
      </w:r>
    </w:p>
    <w:p>
      <w:pPr>
        <w:pStyle w:val="Note"/>
      </w:pPr>
      <w:r>
        <w:t xml:space="preserve">Глава 1. Теоретические основы</w:t>
      </w:r>
      <w:r>
        <w:t xml:space="preserve"> </w:t>
      </w:r>
    </w:p>
    <w:p>
      <w:pPr>
        <w:pStyle w:val="Note"/>
      </w:pPr>
      <w:r>
        <w:t xml:space="preserve">1.1. Понятие реалии и безэквивалентной лексики</w:t>
      </w:r>
      <w:r>
        <w:t xml:space="preserve"> </w:t>
      </w:r>
    </w:p>
    <w:p>
      <w:pPr>
        <w:pStyle w:val="Note"/>
      </w:pPr>
      <w:r>
        <w:t xml:space="preserve">1.2. Типологии реалий и приёмов их передачи</w:t>
      </w:r>
      <w:r>
        <w:t xml:space="preserve"> </w:t>
      </w:r>
    </w:p>
    <w:p>
      <w:pPr>
        <w:pStyle w:val="Note"/>
      </w:pPr>
      <w:r>
        <w:t xml:space="preserve">1.3. Советские реалии как переводческая проблема</w:t>
      </w:r>
      <w:r>
        <w:t xml:space="preserve"> </w:t>
      </w:r>
    </w:p>
    <w:p>
      <w:pPr>
        <w:pStyle w:val="Note"/>
      </w:pPr>
      <w:r>
        <w:t xml:space="preserve">1.4. История вопроса: русско-польский художественный перевод</w:t>
      </w:r>
      <w:r>
        <w:t xml:space="preserve"> </w:t>
      </w:r>
    </w:p>
    <w:p>
      <w:pPr>
        <w:pStyle w:val="Note"/>
      </w:pPr>
      <w:r>
        <w:t xml:space="preserve">Глава 2. Материал и метод</w:t>
      </w:r>
      <w:r>
        <w:t xml:space="preserve"> </w:t>
      </w:r>
    </w:p>
    <w:p>
      <w:pPr>
        <w:pStyle w:val="Note"/>
      </w:pPr>
      <w:r>
        <w:t xml:space="preserve">2.1. Характеристика пары текстов</w:t>
      </w:r>
      <w:r>
        <w:t xml:space="preserve"> </w:t>
      </w:r>
    </w:p>
    <w:p>
      <w:pPr>
        <w:pStyle w:val="Note"/>
      </w:pPr>
      <w:r>
        <w:t xml:space="preserve">2.2. Критерии выборки и корпус единиц</w:t>
      </w:r>
      <w:r>
        <w:t xml:space="preserve"> </w:t>
      </w:r>
    </w:p>
    <w:p>
      <w:pPr>
        <w:pStyle w:val="Note"/>
      </w:pPr>
      <w:r>
        <w:t xml:space="preserve">2.3. Рабочая классификация приёмов</w:t>
      </w:r>
      <w:r>
        <w:t xml:space="preserve"> </w:t>
      </w:r>
    </w:p>
    <w:p>
      <w:pPr>
        <w:pStyle w:val="Note"/>
      </w:pPr>
      <w:r>
        <w:t xml:space="preserve">Глава 3. Анализ</w:t>
      </w:r>
      <w:r>
        <w:t xml:space="preserve"> </w:t>
      </w:r>
    </w:p>
    <w:p>
      <w:pPr>
        <w:pStyle w:val="Note"/>
      </w:pPr>
      <w:r>
        <w:t xml:space="preserve">3.1. Количественный обзор</w:t>
      </w:r>
      <w:r>
        <w:t xml:space="preserve"> </w:t>
      </w:r>
    </w:p>
    <w:p>
      <w:pPr>
        <w:pStyle w:val="Note"/>
      </w:pPr>
      <w:r>
        <w:t xml:space="preserve">3.2. Бытовые реалии</w:t>
      </w:r>
      <w:r>
        <w:t xml:space="preserve"> </w:t>
      </w:r>
    </w:p>
    <w:p>
      <w:pPr>
        <w:pStyle w:val="Note"/>
      </w:pPr>
      <w:r>
        <w:t xml:space="preserve">3.3. Общественно-политические реалии</w:t>
      </w:r>
      <w:r>
        <w:t xml:space="preserve"> </w:t>
      </w:r>
    </w:p>
    <w:p>
      <w:pPr>
        <w:pStyle w:val="Note"/>
      </w:pPr>
      <w:r>
        <w:t xml:space="preserve">3.4. Ономастические реалии и аллюзии</w:t>
      </w:r>
      <w:r>
        <w:t xml:space="preserve"> </w:t>
      </w:r>
    </w:p>
    <w:p>
      <w:pPr>
        <w:pStyle w:val="Note"/>
      </w:pPr>
      <w:r>
        <w:t xml:space="preserve">Глава 4. Обсуждение результатов</w:t>
      </w:r>
      <w:r>
        <w:t xml:space="preserve"> </w:t>
      </w:r>
    </w:p>
    <w:p>
      <w:pPr>
        <w:pStyle w:val="Note"/>
      </w:pPr>
      <w:r>
        <w:t xml:space="preserve">Заключение</w:t>
      </w:r>
      <w:r>
        <w:t xml:space="preserve"> </w:t>
      </w:r>
    </w:p>
    <w:p>
      <w:pPr>
        <w:pStyle w:val="Note"/>
      </w:pPr>
      <w:r>
        <w:t xml:space="preserve">Библиография · Источники · Приложение: корпус единиц</w:t>
      </w:r>
      <w:r>
        <w:t xml:space="preserve"> </w:t>
      </w:r>
    </w:p>
    <w:bookmarkEnd w:id="21"/>
    <w:bookmarkStart w:id="23" w:name="глава-2.-материал-и-метод"/>
    <w:p>
      <w:pPr>
        <w:pStyle w:val="Heading1"/>
      </w:pPr>
      <w:r>
        <w:t xml:space="preserve">Глава 2. Материал и метод</w:t>
      </w:r>
    </w:p>
    <w:bookmarkStart w:id="22" w:name="критерии-выборки-и-корпус-единиц"/>
    <w:p>
      <w:pPr>
        <w:pStyle w:val="Heading2"/>
      </w:pPr>
      <w:r>
        <w:t xml:space="preserve">2.2. Критерии выборки и корпус единиц</w:t>
      </w:r>
    </w:p>
    <w:p>
      <w:pPr>
        <w:pStyle w:val="FirstParagraph"/>
      </w:pPr>
      <w:r>
        <w:t xml:space="preserve">Методом сплошной выборки из текста оригинала извлекались лексические единицы, отвечающие двум критериям: (1) единица обозначает предмет, явление или институт, специфичный для советской действительности; (2) в польском языке отсутствует полный эквивалент, передающий как денотат, так и культурные коннотации единицы. Пограничные случаи (советизмы, укоренившиеся в польском языке, типа</w:t>
      </w:r>
      <w:r>
        <w:t xml:space="preserve"> </w:t>
      </w:r>
      <w:r>
        <w:rPr>
          <w:i/>
          <w:iCs/>
        </w:rPr>
        <w:t xml:space="preserve">kołchoz</w:t>
      </w:r>
      <w:r>
        <w:t xml:space="preserve">) фиксировались отдельно и включались в корпус с пометой. Выборка дала 168 единиц (реалии быта — 71, общественно-политические — 63, ономастические — 34), каждая из которых зарегистрирована с контекстом оригинала, переводческим решением и номерами страниц обоих изданий.</w:t>
      </w:r>
    </w:p>
    <w:p>
      <w:pPr>
        <w:pStyle w:val="Anno"/>
      </w:pPr>
      <w:r>
        <w:t xml:space="preserve">[Warsztat: sploszna wyborka (ekscerpcja ciągła całego tekstu — nie „wybrane przykłady”), dwa kryteria, обработка pograniczных przypadków, wynik z podziałem na kategorie i rejestracją stron OBU wydań. Korpus par do aneksu.]</w:t>
      </w:r>
    </w:p>
    <w:bookmarkEnd w:id="22"/>
    <w:bookmarkEnd w:id="23"/>
    <w:bookmarkStart w:id="25" w:name="глава-3.-анализ"/>
    <w:p>
      <w:pPr>
        <w:pStyle w:val="Heading1"/>
      </w:pPr>
      <w:r>
        <w:t xml:space="preserve">Глава 3. Анализ</w:t>
      </w:r>
    </w:p>
    <w:bookmarkStart w:id="24" w:name="бытовые-реалии"/>
    <w:p>
      <w:pPr>
        <w:pStyle w:val="Heading2"/>
      </w:pPr>
      <w:r>
        <w:t xml:space="preserve">3.2. Бытовые реалии</w:t>
      </w:r>
    </w:p>
    <w:p>
      <w:pPr>
        <w:pStyle w:val="FirstParagraph"/>
      </w:pPr>
      <w:r>
        <w:t xml:space="preserve">В группе бытовых реалий доминирует приблизительный перевод:</w:t>
      </w:r>
      <w:r>
        <w:t xml:space="preserve"> </w:t>
      </w:r>
      <w:r>
        <w:rPr>
          <w:i/>
          <w:iCs/>
        </w:rPr>
        <w:t xml:space="preserve">коммуналка</w:t>
      </w:r>
      <w:r>
        <w:t xml:space="preserve"> </w:t>
      </w:r>
      <w:r>
        <w:t xml:space="preserve">передаётся как</w:t>
      </w:r>
      <w:r>
        <w:t xml:space="preserve"> </w:t>
      </w:r>
      <w:r>
        <w:rPr>
          <w:i/>
          <w:iCs/>
        </w:rPr>
        <w:t xml:space="preserve">mieszkanie komunalne</w:t>
      </w:r>
      <w:r>
        <w:t xml:space="preserve"> </w:t>
      </w:r>
      <w:r>
        <w:t xml:space="preserve">— решение, сохраняющее денотат, но стирающее коннотации тесноты и вынужденного соседства, центральные для сцены (с. 84 оригинала / с. 79 перевода). Переводчик последовательно предпочитает читабельность колориту: лишь 12% бытовых реалий переданы транскрипцией, как правило — единицы, уже присутствующие в польском узусе (</w:t>
      </w:r>
      <w:r>
        <w:rPr>
          <w:i/>
          <w:iCs/>
        </w:rPr>
        <w:t xml:space="preserve">samowar</w:t>
      </w:r>
      <w:r>
        <w:t xml:space="preserve">,</w:t>
      </w:r>
      <w:r>
        <w:t xml:space="preserve"> </w:t>
      </w:r>
      <w:r>
        <w:rPr>
          <w:i/>
          <w:iCs/>
        </w:rPr>
        <w:t xml:space="preserve">dacza</w:t>
      </w:r>
      <w:r>
        <w:t xml:space="preserve">). Показательна работа с реалией</w:t>
      </w:r>
      <w:r>
        <w:t xml:space="preserve"> </w:t>
      </w:r>
      <w:r>
        <w:rPr>
          <w:i/>
          <w:iCs/>
        </w:rPr>
        <w:t xml:space="preserve">авоська</w:t>
      </w:r>
      <w:r>
        <w:t xml:space="preserve">: описательный перевод (</w:t>
      </w:r>
      <w:r>
        <w:rPr>
          <w:i/>
          <w:iCs/>
        </w:rPr>
        <w:t xml:space="preserve">siatka na zakupy</w:t>
      </w:r>
      <w:r>
        <w:t xml:space="preserve">) дополнен в другом месте текста компенсирующей вставкой, воспроизводящей комизм ситуации.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Приём передачи</w:t>
            </w:r>
          </w:p>
        </w:tc>
        <w:tc>
          <w:tcPr/>
          <w:p>
            <w:pPr>
              <w:pStyle w:val="Compact"/>
            </w:pPr>
            <w:r>
              <w:t xml:space="preserve">Бытовые</w:t>
            </w:r>
          </w:p>
        </w:tc>
        <w:tc>
          <w:tcPr/>
          <w:p>
            <w:pPr>
              <w:pStyle w:val="Compact"/>
            </w:pPr>
            <w:r>
              <w:t xml:space="preserve">Общ.-полит.</w:t>
            </w:r>
          </w:p>
        </w:tc>
        <w:tc>
          <w:tcPr/>
          <w:p>
            <w:pPr>
              <w:pStyle w:val="Compact"/>
            </w:pPr>
            <w:r>
              <w:t xml:space="preserve">Ономастические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Приблизительный перевод</w:t>
            </w:r>
          </w:p>
        </w:tc>
        <w:tc>
          <w:tcPr/>
          <w:p>
            <w:pPr>
              <w:pStyle w:val="Compact"/>
            </w:pPr>
            <w:r>
              <w:t xml:space="preserve">46%</w:t>
            </w:r>
          </w:p>
        </w:tc>
        <w:tc>
          <w:tcPr/>
          <w:p>
            <w:pPr>
              <w:pStyle w:val="Compact"/>
            </w:pPr>
            <w:r>
              <w:t xml:space="preserve">33%</w:t>
            </w:r>
          </w:p>
        </w:tc>
        <w:tc>
          <w:tcPr/>
          <w:p>
            <w:pPr>
              <w:pStyle w:val="Compact"/>
            </w:pPr>
            <w:r>
              <w:t xml:space="preserve">21%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Описательный перевод</w:t>
            </w:r>
          </w:p>
        </w:tc>
        <w:tc>
          <w:tcPr/>
          <w:p>
            <w:pPr>
              <w:pStyle w:val="Compact"/>
            </w:pPr>
            <w:r>
              <w:t xml:space="preserve">27%</w:t>
            </w:r>
          </w:p>
        </w:tc>
        <w:tc>
          <w:tcPr/>
          <w:p>
            <w:pPr>
              <w:pStyle w:val="Compact"/>
            </w:pPr>
            <w:r>
              <w:t xml:space="preserve">25%</w:t>
            </w:r>
          </w:p>
        </w:tc>
        <w:tc>
          <w:tcPr/>
          <w:p>
            <w:pPr>
              <w:pStyle w:val="Compact"/>
            </w:pPr>
            <w:r>
              <w:t xml:space="preserve">15%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Транскрипция</w:t>
            </w:r>
          </w:p>
        </w:tc>
        <w:tc>
          <w:tcPr/>
          <w:p>
            <w:pPr>
              <w:pStyle w:val="Compact"/>
            </w:pPr>
            <w:r>
              <w:t xml:space="preserve">12%</w:t>
            </w:r>
          </w:p>
        </w:tc>
        <w:tc>
          <w:tcPr/>
          <w:p>
            <w:pPr>
              <w:pStyle w:val="Compact"/>
            </w:pPr>
            <w:r>
              <w:t xml:space="preserve">29%</w:t>
            </w:r>
          </w:p>
        </w:tc>
        <w:tc>
          <w:tcPr/>
          <w:p>
            <w:pPr>
              <w:pStyle w:val="Compact"/>
            </w:pPr>
            <w:r>
              <w:t xml:space="preserve">55%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Калькирование</w:t>
            </w:r>
          </w:p>
        </w:tc>
        <w:tc>
          <w:tcPr/>
          <w:p>
            <w:pPr>
              <w:pStyle w:val="Compact"/>
            </w:pPr>
            <w:r>
              <w:t xml:space="preserve">9%</w:t>
            </w:r>
          </w:p>
        </w:tc>
        <w:tc>
          <w:tcPr/>
          <w:p>
            <w:pPr>
              <w:pStyle w:val="Compact"/>
            </w:pPr>
            <w:r>
              <w:t xml:space="preserve">10%</w:t>
            </w:r>
          </w:p>
        </w:tc>
        <w:tc>
          <w:tcPr/>
          <w:p>
            <w:pPr>
              <w:pStyle w:val="Compact"/>
            </w:pPr>
            <w:r>
              <w:t xml:space="preserve">6%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Опущение</w:t>
            </w:r>
          </w:p>
        </w:tc>
        <w:tc>
          <w:tcPr/>
          <w:p>
            <w:pPr>
              <w:pStyle w:val="Compact"/>
            </w:pPr>
            <w:r>
              <w:t xml:space="preserve">6%</w:t>
            </w:r>
          </w:p>
        </w:tc>
        <w:tc>
          <w:tcPr/>
          <w:p>
            <w:pPr>
              <w:pStyle w:val="Compact"/>
            </w:pPr>
            <w:r>
              <w:t xml:space="preserve">3%</w:t>
            </w:r>
          </w:p>
        </w:tc>
        <w:tc>
          <w:tcPr/>
          <w:p>
            <w:pPr>
              <w:pStyle w:val="Compact"/>
            </w:pPr>
            <w:r>
              <w:t xml:space="preserve">3%</w:t>
            </w:r>
          </w:p>
        </w:tc>
      </w:tr>
    </w:tbl>
    <w:p>
      <w:pPr>
        <w:pStyle w:val="Anno"/>
      </w:pPr>
      <w:r>
        <w:t xml:space="preserve">[Wzorzec analizy: jednostka (kursywą) → rozwiązanie tłumacza → co ginie/zostaje (konotacje!) → lokalizacja w obu wydaniach. Tabela krzyżowa priom × kategoria pokazuje asymetrię strategii — to główny wynik.]</w:t>
      </w:r>
    </w:p>
    <w:bookmarkEnd w:id="24"/>
    <w:bookmarkEnd w:id="25"/>
    <w:bookmarkStart w:id="26" w:name="глава-4.-обсуждение-результатов"/>
    <w:p>
      <w:pPr>
        <w:pStyle w:val="Heading1"/>
      </w:pPr>
      <w:r>
        <w:t xml:space="preserve">Глава 4. Обсуждение результатов</w:t>
      </w:r>
    </w:p>
    <w:p>
      <w:pPr>
        <w:pStyle w:val="FirstParagraph"/>
      </w:pPr>
      <w:r>
        <w:t xml:space="preserve">Выявленная асимметрия — одомашнивание бытовых реалий при сохранении колорита общественно-политических — интерпретируется в работе как отражение двойного статуса советской действительности для польского читателя: бытовая сфера воспринимается как «своя» (общий опыт социалистической повседневности), тогда как реалии советских институтов маркируются как «чужие». Ограничения работы: одна пара текстов и один переводчик; выводы о стратегии не подлежат генерализации на русско-польский перевод в целом. Перспективы: сопоставление переводов разных десятилетий и рецептивное исследование.</w:t>
      </w:r>
    </w:p>
    <w:bookmarkEnd w:id="26"/>
    <w:bookmarkStart w:id="30" w:name="библиография-выбор"/>
    <w:p>
      <w:pPr>
        <w:pStyle w:val="Heading1"/>
      </w:pPr>
      <w:r>
        <w:t xml:space="preserve">Библиография (выбор)</w:t>
      </w:r>
    </w:p>
    <w:p>
      <w:pPr>
        <w:pStyle w:val="Compact"/>
        <w:numPr>
          <w:ilvl w:val="0"/>
          <w:numId w:val="1001"/>
        </w:numPr>
      </w:pPr>
      <w:r>
        <w:t xml:space="preserve">Влахов С., Флорин С.,</w:t>
      </w:r>
      <w:r>
        <w:t xml:space="preserve"> </w:t>
      </w:r>
      <w:r>
        <w:rPr>
          <w:i/>
          <w:iCs/>
        </w:rPr>
        <w:t xml:space="preserve">Непереводимое в переводе</w:t>
      </w:r>
      <w:r>
        <w:t xml:space="preserve">, Москва 1980.</w:t>
      </w:r>
    </w:p>
    <w:p>
      <w:pPr>
        <w:pStyle w:val="Compact"/>
        <w:numPr>
          <w:ilvl w:val="0"/>
          <w:numId w:val="1001"/>
        </w:numPr>
      </w:pPr>
      <w:r>
        <w:t xml:space="preserve">Lewicki R.,</w:t>
      </w:r>
      <w:r>
        <w:t xml:space="preserve"> </w:t>
      </w:r>
      <w:r>
        <w:rPr>
          <w:i/>
          <w:iCs/>
        </w:rPr>
        <w:t xml:space="preserve">Obcość w odbiorze przekładu</w:t>
      </w:r>
      <w:r>
        <w:t xml:space="preserve">, Lublin 2000.</w:t>
      </w:r>
    </w:p>
    <w:p>
      <w:pPr>
        <w:pStyle w:val="Compact"/>
        <w:numPr>
          <w:ilvl w:val="0"/>
          <w:numId w:val="1001"/>
        </w:numPr>
      </w:pPr>
      <w:r>
        <w:t xml:space="preserve">Hejwowski K.,</w:t>
      </w:r>
      <w:r>
        <w:t xml:space="preserve"> </w:t>
      </w:r>
      <w:r>
        <w:rPr>
          <w:i/>
          <w:iCs/>
        </w:rPr>
        <w:t xml:space="preserve">Kognitywno-komunikacyjna teoria przekładu</w:t>
      </w:r>
      <w:r>
        <w:t xml:space="preserve">, Warszawa 2004.</w:t>
      </w:r>
    </w:p>
    <w:p>
      <w:pPr>
        <w:pStyle w:val="Anno"/>
      </w:pPr>
      <w:r>
        <w:t xml:space="preserve">[Kanon: Włachow i Florin (klasyczna typologia realiów), Lewicki (obcość w przekładzie — polska rusycystyka), Hejwowski. Osobno Источники (oba wydania pary tekstów z pełnym opisem bibliograficznym) i приложение z pełnym korpusem 168 jednostek.]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7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28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29">
        <w:r>
          <w:rPr>
            <w:rStyle w:val="Hyperlink"/>
            <w:b/>
            <w:bCs/>
          </w:rPr>
          <w:t xml:space="preserve">www.praca-magisterska.pl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smart-edu.ai" TargetMode="External" /><Relationship Type="http://schemas.openxmlformats.org/officeDocument/2006/relationships/hyperlink" Id="rId29" Target="https://www.praca-magisterska.pl" TargetMode="External" /><Relationship Type="http://schemas.openxmlformats.org/officeDocument/2006/relationships/hyperlink" Id="rId28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smart-edu.ai" TargetMode="External" /><Relationship Type="http://schemas.openxmlformats.org/officeDocument/2006/relationships/hyperlink" Id="rId29" Target="https://www.praca-magisterska.pl" TargetMode="External" /><Relationship Type="http://schemas.openxmlformats.org/officeDocument/2006/relationships/hyperlink" Id="rId28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2026-07-17T07:09:33Z</dcterms:created>
  <dcterms:modified xsi:type="dcterms:W3CDTF">2026-07-17T07:09:33Z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