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UNIVERSITÀ ________________</w:t>
      </w:r>
    </w:p>
    <w:p>
      <w:pPr>
        <w:pStyle w:val="Center"/>
      </w:pPr>
      <w:r>
        <w:t xml:space="preserve">Facoltà di Lettere — Istituto di Italianistica</w:t>
      </w:r>
    </w:p>
    <w:p>
      <w:pPr>
        <w:pStyle w:val="Center"/>
      </w:pPr>
      <w:r>
        <w:rPr>
          <w:b/>
          <w:bCs/>
        </w:rPr>
        <w:t xml:space="preserve">Martyna Lis</w:t>
      </w:r>
    </w:p>
    <w:p>
      <w:pPr>
        <w:pStyle w:val="Center"/>
      </w:pPr>
      <w:r>
        <w:t xml:space="preserve">numero di matricola 000000</w:t>
      </w:r>
    </w:p>
    <w:p>
      <w:pPr>
        <w:pStyle w:val="Center"/>
      </w:pPr>
      <w:r>
        <w:rPr>
          <w:b/>
          <w:bCs/>
        </w:rPr>
        <w:t xml:space="preserve">La fraseologia gastronomica italiana e i suoi equivalenti polacchi: analisi contrastiva e problemi di traduzione</w:t>
      </w:r>
    </w:p>
    <w:p>
      <w:pPr>
        <w:pStyle w:val="Center"/>
      </w:pPr>
      <w:r>
        <w:t xml:space="preserve">Tesi di laurea magistrale</w:t>
      </w:r>
    </w:p>
    <w:p>
      <w:pPr>
        <w:pStyle w:val="Center"/>
      </w:pPr>
      <w:r>
        <w:t xml:space="preserve">relatore:</w:t>
      </w:r>
    </w:p>
    <w:p>
      <w:pPr>
        <w:pStyle w:val="Center"/>
      </w:pPr>
      <w:r>
        <w:t xml:space="preserve">dr hab. ________________</w:t>
      </w:r>
    </w:p>
    <w:p>
      <w:pPr>
        <w:pStyle w:val="Center"/>
      </w:pPr>
      <w:r>
        <w:t xml:space="preserve">Cracovia,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filologii włoskiej w schemacie</w:t>
      </w:r>
      <w:r>
        <w:t xml:space="preserve"> </w:t>
      </w:r>
      <w:r>
        <w:rPr>
          <w:b/>
          <w:bCs/>
        </w:rPr>
        <w:t xml:space="preserve">analizy kontrastywnej frazeologii</w:t>
      </w:r>
      <w:r>
        <w:t xml:space="preserve">: włoskie frazeologizmy kulinarne zestawione z polskimi ekwiwalentami według typologii ekwiwalencji, z weryfikacją korpusową użyć. Prace z italianistyki pisze się PO WŁOSKU (stąd włoskie sekcje); polskie adnotacje objaśniają funkcję części — usuń je w swojej pracy. Frazeologia kulinarna to wdzięczny, „gęsty” materiał dla pary włosko-polskiej. Pełne poradniki: praca-magisterska.pl/poradniki/</w:t>
      </w:r>
    </w:p>
    <w:bookmarkStart w:id="20" w:name="riassunto"/>
    <w:p>
      <w:pPr>
        <w:pStyle w:val="Heading1"/>
      </w:pPr>
      <w:r>
        <w:t xml:space="preserve">Riassunto</w:t>
      </w:r>
    </w:p>
    <w:p>
      <w:pPr>
        <w:pStyle w:val="FirstParagraph"/>
      </w:pPr>
      <w:r>
        <w:t xml:space="preserve">La presente tesi analizza la fraseologia gastronomica italiana in prospettiva contrastiva italiano-polacca. Il corpus, compilato a partire da dizionari fraseologici italiani e verificato nei corpora di riferimento, comprende 214 unità fraseologiche contenenti un componente gastronomico (</w:t>
      </w:r>
      <w:r>
        <w:rPr>
          <w:i/>
          <w:iCs/>
        </w:rPr>
        <w:t xml:space="preserve">essere come il prezzemolo</w:t>
      </w:r>
      <w:r>
        <w:t xml:space="preserve">,</w:t>
      </w:r>
      <w:r>
        <w:t xml:space="preserve"> </w:t>
      </w:r>
      <w:r>
        <w:rPr>
          <w:i/>
          <w:iCs/>
        </w:rPr>
        <w:t xml:space="preserve">rendere pan per focaccia</w:t>
      </w:r>
      <w:r>
        <w:t xml:space="preserve">). Ogni unità è stata confrontata con i suoi possibili equivalenti polacchi e classificata secondo una tipologia di equivalenza a quattro gradi: equivalenza totale, parziale, sostitutiva (immagine diversa, stesso significato) e mancante (lacuna fraseologica). L’analisi rivela una netta prevalenza dell’equivalenza sostitutiva (41%) — il polacco esprime significati analoghi attraverso immagini gastronomiche diverse o non gastronomiche — e una quota rilevante di lacune (23%), concentrate nelle unità legate a realia culinari specificamente italiani. La tesi discute inoltre le implicazioni traduttive dei risultati su esempi tratti da traduzioni pubblicate. Il lavoro si inserisce negli studi di fraseologia contrastiva e conferma il ruolo della cultura materiale nella formazione del lessico figurato.</w:t>
      </w:r>
    </w:p>
    <w:p>
      <w:pPr>
        <w:pStyle w:val="BodyText"/>
      </w:pPr>
      <w:r>
        <w:rPr>
          <w:b/>
          <w:bCs/>
        </w:rPr>
        <w:t xml:space="preserve">Parole chiave:</w:t>
      </w:r>
      <w:r>
        <w:t xml:space="preserve"> </w:t>
      </w:r>
      <w:r>
        <w:t xml:space="preserve">fraseologia, analisi contrastiva, italiano-polacco, equivalenza, lessico gastronomico.</w:t>
      </w:r>
    </w:p>
    <w:p>
      <w:pPr>
        <w:pStyle w:val="Anno"/>
      </w:pPr>
      <w:r>
        <w:t xml:space="preserve">[Riassunto po włosku: przedmiot, korpus z liczbą (214 jednostek) i źródłami, typologia ekwiwalencji (4 stopnie) i główny wynik z odsetkami. Uczelnie wymagają zwykle także streszczenia po polsku — sprawdź wytyczne instytutu.]</w:t>
      </w:r>
    </w:p>
    <w:bookmarkEnd w:id="20"/>
    <w:bookmarkStart w:id="21" w:name="indice"/>
    <w:p>
      <w:pPr>
        <w:pStyle w:val="Heading1"/>
      </w:pPr>
      <w:r>
        <w:t xml:space="preserve">Indice</w:t>
      </w:r>
    </w:p>
    <w:p>
      <w:pPr>
        <w:pStyle w:val="Note"/>
      </w:pPr>
      <w:r>
        <w:t xml:space="preserve">Introduzione</w:t>
      </w:r>
      <w:r>
        <w:t xml:space="preserve"> </w:t>
      </w:r>
    </w:p>
    <w:p>
      <w:pPr>
        <w:pStyle w:val="Note"/>
      </w:pPr>
      <w:r>
        <w:t xml:space="preserve">Capitolo 1. Quadro teorico</w:t>
      </w:r>
      <w:r>
        <w:t xml:space="preserve"> </w:t>
      </w:r>
    </w:p>
    <w:p>
      <w:pPr>
        <w:pStyle w:val="Note"/>
      </w:pPr>
      <w:r>
        <w:t xml:space="preserve">1.1. La fraseologia: nozioni e confini</w:t>
      </w:r>
      <w:r>
        <w:t xml:space="preserve"> </w:t>
      </w:r>
    </w:p>
    <w:p>
      <w:pPr>
        <w:pStyle w:val="Note"/>
      </w:pPr>
      <w:r>
        <w:t xml:space="preserve">1.2. L’analisi contrastiva e la tipologia dell’equivalenza</w:t>
      </w:r>
      <w:r>
        <w:t xml:space="preserve"> </w:t>
      </w:r>
    </w:p>
    <w:p>
      <w:pPr>
        <w:pStyle w:val="Note"/>
      </w:pPr>
      <w:r>
        <w:t xml:space="preserve">1.3. Il lessico gastronomico nella cultura italiana</w:t>
      </w:r>
      <w:r>
        <w:t xml:space="preserve"> </w:t>
      </w:r>
    </w:p>
    <w:p>
      <w:pPr>
        <w:pStyle w:val="Note"/>
      </w:pPr>
      <w:r>
        <w:t xml:space="preserve">1.4. Stato della ricerca: fraseologia italiano-polacca</w:t>
      </w:r>
      <w:r>
        <w:t xml:space="preserve"> </w:t>
      </w:r>
    </w:p>
    <w:p>
      <w:pPr>
        <w:pStyle w:val="Note"/>
      </w:pPr>
      <w:r>
        <w:t xml:space="preserve">Capitolo 2. Materiale e metodo</w:t>
      </w:r>
      <w:r>
        <w:t xml:space="preserve"> </w:t>
      </w:r>
    </w:p>
    <w:p>
      <w:pPr>
        <w:pStyle w:val="Note"/>
      </w:pPr>
      <w:r>
        <w:t xml:space="preserve">2.1. Fonti e criteri di compilazione del corpus</w:t>
      </w:r>
      <w:r>
        <w:t xml:space="preserve"> </w:t>
      </w:r>
    </w:p>
    <w:p>
      <w:pPr>
        <w:pStyle w:val="Note"/>
      </w:pPr>
      <w:r>
        <w:t xml:space="preserve">2.2. La verifica corpusuale delle unità</w:t>
      </w:r>
      <w:r>
        <w:t xml:space="preserve"> </w:t>
      </w:r>
    </w:p>
    <w:p>
      <w:pPr>
        <w:pStyle w:val="Note"/>
      </w:pPr>
      <w:r>
        <w:t xml:space="preserve">2.3. La tipologia di equivalenza adottata</w:t>
      </w:r>
      <w:r>
        <w:t xml:space="preserve"> </w:t>
      </w:r>
    </w:p>
    <w:p>
      <w:pPr>
        <w:pStyle w:val="Note"/>
      </w:pPr>
      <w:r>
        <w:t xml:space="preserve">Capitolo 3. Analisi contrastiva</w:t>
      </w:r>
      <w:r>
        <w:t xml:space="preserve"> </w:t>
      </w:r>
    </w:p>
    <w:p>
      <w:pPr>
        <w:pStyle w:val="Note"/>
      </w:pPr>
      <w:r>
        <w:t xml:space="preserve">3.1. Panorama quantitativo</w:t>
      </w:r>
      <w:r>
        <w:t xml:space="preserve"> </w:t>
      </w:r>
    </w:p>
    <w:p>
      <w:pPr>
        <w:pStyle w:val="Note"/>
      </w:pPr>
      <w:r>
        <w:t xml:space="preserve">3.2. Equivalenza totale e parziale</w:t>
      </w:r>
      <w:r>
        <w:t xml:space="preserve"> </w:t>
      </w:r>
    </w:p>
    <w:p>
      <w:pPr>
        <w:pStyle w:val="Note"/>
      </w:pPr>
      <w:r>
        <w:t xml:space="preserve">3.3. Equivalenza sostitutiva: immagini divergenti</w:t>
      </w:r>
      <w:r>
        <w:t xml:space="preserve"> </w:t>
      </w:r>
    </w:p>
    <w:p>
      <w:pPr>
        <w:pStyle w:val="Note"/>
      </w:pPr>
      <w:r>
        <w:t xml:space="preserve">3.4. Le lacune fraseologiche e i realia culinari</w:t>
      </w:r>
      <w:r>
        <w:t xml:space="preserve"> </w:t>
      </w:r>
    </w:p>
    <w:p>
      <w:pPr>
        <w:pStyle w:val="Note"/>
      </w:pPr>
      <w:r>
        <w:t xml:space="preserve">Capitolo 4. Implicazioni traduttive</w:t>
      </w:r>
      <w:r>
        <w:t xml:space="preserve"> </w:t>
      </w:r>
    </w:p>
    <w:p>
      <w:pPr>
        <w:pStyle w:val="Note"/>
      </w:pPr>
      <w:r>
        <w:t xml:space="preserve">Conclusioni</w:t>
      </w:r>
      <w:r>
        <w:t xml:space="preserve"> </w:t>
      </w:r>
    </w:p>
    <w:p>
      <w:pPr>
        <w:pStyle w:val="Note"/>
      </w:pPr>
      <w:r>
        <w:t xml:space="preserve">Bibliografia · Fonti · Appendice: corpus delle unità</w:t>
      </w:r>
      <w:r>
        <w:t xml:space="preserve"> </w:t>
      </w:r>
    </w:p>
    <w:bookmarkEnd w:id="21"/>
    <w:bookmarkStart w:id="24" w:name="capitolo-2.-materiale-e-metodo"/>
    <w:p>
      <w:pPr>
        <w:pStyle w:val="Heading1"/>
      </w:pPr>
      <w:r>
        <w:t xml:space="preserve">Capitolo 2. Materiale e metodo</w:t>
      </w:r>
    </w:p>
    <w:bookmarkStart w:id="22" w:name="X9493b6dff3984019c348a367333e7c7499f428e"/>
    <w:p>
      <w:pPr>
        <w:pStyle w:val="Heading2"/>
      </w:pPr>
      <w:r>
        <w:t xml:space="preserve">2.1. Fonti e criteri di compilazione del corpus</w:t>
      </w:r>
    </w:p>
    <w:p>
      <w:pPr>
        <w:pStyle w:val="FirstParagraph"/>
      </w:pPr>
      <w:r>
        <w:t xml:space="preserve">Il corpus è stato compilato a partire da due dizionari fraseologici italiani di riferimento, dai quali sono state estratte tutte le unità contenenti almeno un componente lessicale gastronomico (nomi di alimenti, piatti, utensili e attività culinarie). Sono state escluse le unità marcate come arcaiche o esclusivamente regionali. La compilazione ha prodotto 214 unità, ciascuna registrata con la definizione lessicografica, un esempio d’uso e la fonte. L’attualità d’uso di ogni unità è stata verificata nei corpora di riferimento dell’italiano; le unità prive di attestazioni recenti (n = 18) sono state mantenute nel corpus con apposita marca.</w:t>
      </w:r>
    </w:p>
    <w:p>
      <w:pPr>
        <w:pStyle w:val="Anno"/>
      </w:pPr>
      <w:r>
        <w:t xml:space="preserve">[Warsztat frazeologiczny: źródła słownikowe (autorytet), kryterium komponentu gastronomicznego, wykluczenia, weryfikacja KORPUSOWA aktualności użycia — to ona odróżnia współczesną pracę frazeologiczną od przepisywania słowników.]</w:t>
      </w:r>
    </w:p>
    <w:bookmarkEnd w:id="22"/>
    <w:bookmarkStart w:id="23" w:name="la-tipologia-di-equivalenza-adottata"/>
    <w:p>
      <w:pPr>
        <w:pStyle w:val="Heading2"/>
      </w:pPr>
      <w:r>
        <w:t xml:space="preserve">2.3. La tipologia di equivalenza adottata</w:t>
      </w:r>
    </w:p>
    <w:p>
      <w:pPr>
        <w:pStyle w:val="FirstParagraph"/>
      </w:pPr>
      <w:r>
        <w:t xml:space="preserve">Il confronto con il polacco si basa su una tipologia a quattro gradi: (1) equivalenza totale — stessa immagine, stesso significato (</w:t>
      </w:r>
      <w:r>
        <w:rPr>
          <w:i/>
          <w:iCs/>
        </w:rPr>
        <w:t xml:space="preserve">essere buono come il pane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dobry jak chleb</w:t>
      </w:r>
      <w:r>
        <w:t xml:space="preserve">); (2) equivalenza parziale — immagine affine con differenze strutturali o d’uso; (3) equivalenza sostitutiva — significato analogo, immagine diversa (</w:t>
      </w:r>
      <w:r>
        <w:rPr>
          <w:i/>
          <w:iCs/>
        </w:rPr>
        <w:t xml:space="preserve">rendere pan per focaccia</w:t>
      </w:r>
      <w:r>
        <w:t xml:space="preserve"> </w:t>
      </w:r>
      <w:r>
        <w:t xml:space="preserve">/</w:t>
      </w:r>
      <w:r>
        <w:t xml:space="preserve"> </w:t>
      </w:r>
      <w:r>
        <w:rPr>
          <w:i/>
          <w:iCs/>
        </w:rPr>
        <w:t xml:space="preserve">odpłacić pięknym za nadobne</w:t>
      </w:r>
      <w:r>
        <w:t xml:space="preserve">); (4) lacuna — assenza di un equivalente fraseologico consolidato, con necessità di parafrasi. Gli equivalenti polacchi sono stati stabiliti sulla base dei dizionari fraseologici polacchi e verificati nel Corpus Nazionale della Lingua Polacca.</w:t>
      </w:r>
    </w:p>
    <w:bookmarkEnd w:id="23"/>
    <w:bookmarkEnd w:id="24"/>
    <w:bookmarkStart w:id="26" w:name="capitolo-3.-analisi-contrastiva"/>
    <w:p>
      <w:pPr>
        <w:pStyle w:val="Heading1"/>
      </w:pPr>
      <w:r>
        <w:t xml:space="preserve">Capitolo 3. Analisi contrastiva</w:t>
      </w:r>
    </w:p>
    <w:bookmarkStart w:id="25" w:name="Xfa22fb45d6af6af30abad97b55fd591b97c38e7"/>
    <w:p>
      <w:pPr>
        <w:pStyle w:val="Heading2"/>
      </w:pPr>
      <w:r>
        <w:t xml:space="preserve">3.3. Equivalenza sostitutiva: immagini divergenti</w:t>
      </w:r>
    </w:p>
    <w:p>
      <w:pPr>
        <w:pStyle w:val="FirstParagraph"/>
      </w:pPr>
      <w:r>
        <w:t xml:space="preserve">L’equivalenza sostitutiva domina il corpus (41%) e rivela la divergenza delle immagini culinarie di base: dove l’italiano ricorre al pane, alla pasta o all’olio, il polacco attinge spesso a un immaginario gastronomico diverso o abbandona la sfera culinaria. Esemplare il caso di</w:t>
      </w:r>
      <w:r>
        <w:t xml:space="preserve"> </w:t>
      </w:r>
      <w:r>
        <w:rPr>
          <w:i/>
          <w:iCs/>
        </w:rPr>
        <w:t xml:space="preserve">essere come il prezzemolo</w:t>
      </w:r>
      <w:r>
        <w:t xml:space="preserve"> </w:t>
      </w:r>
      <w:r>
        <w:t xml:space="preserve">(„essere dappertutto”): l’equivalente funzionale polacco rinuncia all’immagine vegetale. L’analisi delle 87 unità sostitutive mostra che la sostituzione conserva di norma il registro e l’intensità pragmatica, sacrificando la specificità culturale dell’immagine.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Grado di equivalenza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%</w:t>
            </w:r>
          </w:p>
        </w:tc>
        <w:tc>
          <w:tcPr/>
          <w:p>
            <w:pPr>
              <w:pStyle w:val="Compact"/>
            </w:pPr>
            <w:r>
              <w:t xml:space="preserve">Esempio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Totale</w:t>
            </w:r>
          </w:p>
        </w:tc>
        <w:tc>
          <w:tcPr/>
          <w:p>
            <w:pPr>
              <w:pStyle w:val="Compact"/>
            </w:pPr>
            <w:r>
              <w:t xml:space="preserve">34</w:t>
            </w:r>
          </w:p>
        </w:tc>
        <w:tc>
          <w:tcPr/>
          <w:p>
            <w:pPr>
              <w:pStyle w:val="Compact"/>
            </w:pPr>
            <w:r>
              <w:t xml:space="preserve">16%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buono come il pane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i/>
                <w:iCs/>
              </w:rPr>
              <w:t xml:space="preserve">dobry jak chleb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Parziale</w:t>
            </w:r>
          </w:p>
        </w:tc>
        <w:tc>
          <w:tcPr/>
          <w:p>
            <w:pPr>
              <w:pStyle w:val="Compact"/>
            </w:pPr>
            <w:r>
              <w:t xml:space="preserve">43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immagine affine, uso divergente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Sostitutiva</w:t>
            </w:r>
          </w:p>
        </w:tc>
        <w:tc>
          <w:tcPr/>
          <w:p>
            <w:pPr>
              <w:pStyle w:val="Compact"/>
            </w:pPr>
            <w:r>
              <w:t xml:space="preserve">87</w:t>
            </w:r>
          </w:p>
        </w:tc>
        <w:tc>
          <w:tcPr/>
          <w:p>
            <w:pPr>
              <w:pStyle w:val="Compact"/>
            </w:pPr>
            <w:r>
              <w:t xml:space="preserve">41%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pan per focaccia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i/>
                <w:iCs/>
              </w:rPr>
              <w:t xml:space="preserve">pięknym za nadobne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Lacuna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t xml:space="preserve">23%</w:t>
            </w:r>
          </w:p>
        </w:tc>
        <w:tc>
          <w:tcPr/>
          <w:p>
            <w:pPr>
              <w:pStyle w:val="Compact"/>
            </w:pPr>
            <w:r>
              <w:t xml:space="preserve">realia culinari italiani</w:t>
            </w:r>
          </w:p>
        </w:tc>
      </w:tr>
    </w:tbl>
    <w:p>
      <w:pPr>
        <w:pStyle w:val="Anno"/>
      </w:pPr>
      <w:r>
        <w:t xml:space="preserve">[Tabela typologii z liczbami i przykładami (jednostki kursywą — konwencja lingwistyczna). Wzorzec akapitu: jednostka → ekwiwalent → stopień → co ginie (specyfika kulturowa obrazu). Sekcja o lukach naturalnie łączy frazeologię z realiami kulinarnymi.]</w:t>
      </w:r>
    </w:p>
    <w:bookmarkEnd w:id="25"/>
    <w:bookmarkEnd w:id="26"/>
    <w:bookmarkStart w:id="27" w:name="capitolo-4.-implicazioni-traduttive"/>
    <w:p>
      <w:pPr>
        <w:pStyle w:val="Heading1"/>
      </w:pPr>
      <w:r>
        <w:t xml:space="preserve">Capitolo 4. Implicazioni traduttive</w:t>
      </w:r>
    </w:p>
    <w:p>
      <w:pPr>
        <w:pStyle w:val="FirstParagraph"/>
      </w:pPr>
      <w:r>
        <w:t xml:space="preserve">Le implicazioni traduttive dei risultati sono illustrate su esempi tratti da tre traduzioni polacche pubblicate di narrativa italiana contemporanea: le unità a equivalenza totale passano di regola senza perdite; quelle sostitutive impongono al traduttore la scelta tra funzionalità e colorito locale; le lacune attivano strategie descrittive o compensative. Limiti del lavoro: la prospettiva unidirezionale (italiano → polacco) e il carattere lessicografico-corpusuale dell’analisi, senza dati sperimentali sulla comprensione. Prospettive: l’inversione della direzione e uno studio sulla ricezione delle soluzioni traduttive.</w:t>
      </w:r>
    </w:p>
    <w:bookmarkEnd w:id="27"/>
    <w:bookmarkStart w:id="31" w:name="bibliografia-selezione"/>
    <w:p>
      <w:pPr>
        <w:pStyle w:val="Heading1"/>
      </w:pPr>
      <w:r>
        <w:t xml:space="preserve">Bibliografia (selezione)</w:t>
      </w:r>
    </w:p>
    <w:p>
      <w:pPr>
        <w:pStyle w:val="Compact"/>
        <w:numPr>
          <w:ilvl w:val="0"/>
          <w:numId w:val="1001"/>
        </w:numPr>
      </w:pPr>
      <w:r>
        <w:t xml:space="preserve">Casadei F.,</w:t>
      </w:r>
      <w:r>
        <w:t xml:space="preserve"> </w:t>
      </w:r>
      <w:r>
        <w:rPr>
          <w:i/>
          <w:iCs/>
        </w:rPr>
        <w:t xml:space="preserve">Metafore ed espressioni idiomatiche. Uno studio semantico sull’italiano</w:t>
      </w:r>
      <w:r>
        <w:t xml:space="preserve">, Roma 1996.</w:t>
      </w:r>
    </w:p>
    <w:p>
      <w:pPr>
        <w:pStyle w:val="Compact"/>
        <w:numPr>
          <w:ilvl w:val="0"/>
          <w:numId w:val="1001"/>
        </w:numPr>
      </w:pPr>
      <w:r>
        <w:t xml:space="preserve">Lewicki A.M., Pajdzińska A.,</w:t>
      </w:r>
      <w:r>
        <w:t xml:space="preserve"> </w:t>
      </w:r>
      <w:r>
        <w:rPr>
          <w:i/>
          <w:iCs/>
        </w:rPr>
        <w:t xml:space="preserve">Frazeologia</w:t>
      </w:r>
      <w:r>
        <w:t xml:space="preserve">, w:</w:t>
      </w:r>
      <w:r>
        <w:t xml:space="preserve"> </w:t>
      </w:r>
      <w:r>
        <w:rPr>
          <w:i/>
          <w:iCs/>
        </w:rPr>
        <w:t xml:space="preserve">Współczesny język polski</w:t>
      </w:r>
      <w:r>
        <w:t xml:space="preserve">, Lublin 2001.</w:t>
      </w:r>
    </w:p>
    <w:p>
      <w:pPr>
        <w:pStyle w:val="Compact"/>
        <w:numPr>
          <w:ilvl w:val="0"/>
          <w:numId w:val="1001"/>
        </w:numPr>
      </w:pPr>
      <w:r>
        <w:t xml:space="preserve">Szałek J.,</w:t>
      </w:r>
      <w:r>
        <w:t xml:space="preserve"> </w:t>
      </w:r>
      <w:r>
        <w:rPr>
          <w:i/>
          <w:iCs/>
        </w:rPr>
        <w:t xml:space="preserve">Los fundamentos de la fraseología española</w:t>
      </w:r>
      <w:r>
        <w:t xml:space="preserve"> </w:t>
      </w:r>
      <w:r>
        <w:t xml:space="preserve">— analogiczne opracowania italianistyczne (uzupełnij według kwerendy).</w:t>
      </w:r>
    </w:p>
    <w:p>
      <w:pPr>
        <w:pStyle w:val="Anno"/>
      </w:pPr>
      <w:r>
        <w:t xml:space="preserve">[Bibliografia dwustronna: frazeologia włoska (Casadei) i polska (Lewicki/Pajdzińska) + prace kontrastywne pary IT-PL z kwerendy. Osobno Fonti (słowniki-źródła korpusu z wydaniami) i appendice z pełnym korpusem 214 jednostek.]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8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9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0">
        <w:r>
          <w:rPr>
            <w:rStyle w:val="Hyperlink"/>
            <w:b/>
            <w:bCs/>
          </w:rPr>
          <w:t xml:space="preserve">www.praca-magisterska.pl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smart-edu.ai" TargetMode="External" /><Relationship Type="http://schemas.openxmlformats.org/officeDocument/2006/relationships/hyperlink" Id="rId30" Target="https://www.praca-magisterska.pl" TargetMode="External" /><Relationship Type="http://schemas.openxmlformats.org/officeDocument/2006/relationships/hyperlink" Id="rId29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smart-edu.ai" TargetMode="External" /><Relationship Type="http://schemas.openxmlformats.org/officeDocument/2006/relationships/hyperlink" Id="rId30" Target="https://www.praca-magisterska.pl" TargetMode="External" /><Relationship Type="http://schemas.openxmlformats.org/officeDocument/2006/relationships/hyperlink" Id="rId29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2026-07-17T07:09:38Z</dcterms:created>
  <dcterms:modified xsi:type="dcterms:W3CDTF">2026-07-17T07:09:38Z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