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UNIWERSYTET EKONOMICZNY ________________</w:t>
      </w:r>
    </w:p>
    <w:p>
      <w:pPr>
        <w:pStyle w:val="Center"/>
      </w:pPr>
      <w:r>
        <w:t xml:space="preserve">Wydział Finansów — Kierunek: Finanse i rachunkowość</w:t>
      </w:r>
    </w:p>
    <w:p>
      <w:pPr>
        <w:pStyle w:val="Center"/>
      </w:pPr>
      <w:r>
        <w:rPr>
          <w:b/>
          <w:bCs/>
        </w:rPr>
        <w:t xml:space="preserve">Tomasz Lewandowski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Ocena kondycji finansowej przedsiębiorstwa produkcyjnego X S.A. w latach 2021–2025 na tle branży — analiza wskaźnikowa</w:t>
      </w:r>
    </w:p>
    <w:p>
      <w:pPr>
        <w:pStyle w:val="Center"/>
      </w:pPr>
      <w:r>
        <w:t xml:space="preserve">Praca magisterska</w:t>
      </w:r>
    </w:p>
    <w:p>
      <w:pPr>
        <w:pStyle w:val="Center"/>
      </w:pPr>
      <w:r>
        <w:t xml:space="preserve">napisana pod kierunkiem</w:t>
      </w:r>
    </w:p>
    <w:p>
      <w:pPr>
        <w:pStyle w:val="Center"/>
      </w:pPr>
      <w:r>
        <w:t xml:space="preserve">prof. dr. hab. ________________</w:t>
      </w:r>
    </w:p>
    <w:p>
      <w:pPr>
        <w:pStyle w:val="Center"/>
      </w:pPr>
      <w:r>
        <w:t xml:space="preserve">Wrocław,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kompletny szkielet pracy magisterskiej z finansów i rachunkowości opartej na</w:t>
      </w:r>
      <w:r>
        <w:t xml:space="preserve"> </w:t>
      </w:r>
      <w:r>
        <w:rPr>
          <w:b/>
          <w:bCs/>
        </w:rPr>
        <w:t xml:space="preserve">analizie sprawozdań finansowych</w:t>
      </w:r>
      <w:r>
        <w:t xml:space="preserve">: analiza wstępna (pozioma i pionowa), analiza wskaźnikowa w czterech obszarach, porównanie z branżą i synteza z oceną. Materiałem badawczym są publicznie dostępne sprawozdania finansowe — to najpewniejszy schemat pracy na tym kierunku, bo dane są dostępne bez zgody firmy. Niebieskie adnotacje opisują funkcję każdej części — usuń je w swojej pracy. Dane liczbowe są fikcyjne.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t xml:space="preserve">Celem pracy jest ocena kondycji finansowej przedsiębiorstwa produkcyjnego X S.A. w latach 2021–2025 oraz jej porównanie ze wskaźnikami branżowymi. Materiał badawczy stanowiły sprawozdania finansowe spółki za pięć kolejnych lat obrotowych (bilans, rachunek zysków i strat, rachunek przepływów pieniężnych) oraz dane branżowe publikowane przez GUS. Zastosowano analizę wstępną (pionową i poziomą) oraz analizę wskaźnikową w czterech obszarach: płynności, rentowności, zadłużenia i sprawności działania. Badanie wykazało pogorszenie płynności bieżącej poniżej dolnej granicy wartości referencyjnych (1,08 w 2025 r.) przy jednocześnie rosnącej rentowności sprzedaży, co wskazuje na finansowanie dynamicznego wzrostu kapitałem obrotowym. Na tle branży spółka osiąga wyższą rentowność przy wyraźnie krótszym cyklu regulowania zobowiązań. W zakończeniu sformułowano ocenę syntetyczną oraz rekomendacje dotyczące zarządzania kapitałem obrotowym.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analiza finansowa, analiza wskaźnikowa, płynność finansowa, rentowność, sprawozdanie finansowe.</w:t>
      </w:r>
    </w:p>
    <w:p>
      <w:pPr>
        <w:pStyle w:val="Anno"/>
      </w:pPr>
      <w:r>
        <w:t xml:space="preserve">[Streszczenie: cel, materiał (jakie sprawozdania, ile lat), metody (analiza wstępna + wskaźnikowa) i główny wniosek z liczbami. Zwróć uwagę na sedno dobrej analizy: nie „wskaźnik spadł”, ale CO Z TEGO WYNIKA (wzrost finansowany kapitałem obrotowym).]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Wstęp</w:t>
      </w:r>
      <w:r>
        <w:t xml:space="preserve"> </w:t>
      </w:r>
    </w:p>
    <w:p>
      <w:pPr>
        <w:pStyle w:val="Note"/>
      </w:pPr>
      <w:r>
        <w:t xml:space="preserve">Rozdział 1. Analiza finansowa jako narzędzie oceny przedsiębiorstwa</w:t>
      </w:r>
      <w:r>
        <w:t xml:space="preserve"> </w:t>
      </w:r>
    </w:p>
    <w:p>
      <w:pPr>
        <w:pStyle w:val="Note"/>
      </w:pPr>
      <w:r>
        <w:t xml:space="preserve">1.1. Istota i zakres analizy finansowej</w:t>
      </w:r>
      <w:r>
        <w:t xml:space="preserve"> </w:t>
      </w:r>
    </w:p>
    <w:p>
      <w:pPr>
        <w:pStyle w:val="Note"/>
      </w:pPr>
      <w:r>
        <w:t xml:space="preserve">1.2. Sprawozdanie finansowe jako źródło danych</w:t>
      </w:r>
      <w:r>
        <w:t xml:space="preserve"> </w:t>
      </w:r>
    </w:p>
    <w:p>
      <w:pPr>
        <w:pStyle w:val="Note"/>
      </w:pPr>
      <w:r>
        <w:t xml:space="preserve">1.3. Metody analizy: wstępna i wskaźnikowa</w:t>
      </w:r>
      <w:r>
        <w:t xml:space="preserve"> </w:t>
      </w:r>
    </w:p>
    <w:p>
      <w:pPr>
        <w:pStyle w:val="Note"/>
      </w:pPr>
      <w:r>
        <w:t xml:space="preserve">1.4. Wskaźniki finansowe i ich wartości referencyjne</w:t>
      </w:r>
      <w:r>
        <w:t xml:space="preserve"> </w:t>
      </w:r>
    </w:p>
    <w:p>
      <w:pPr>
        <w:pStyle w:val="Note"/>
      </w:pPr>
      <w:r>
        <w:t xml:space="preserve">Rozdział 2. Metodyka badania i charakterystyka przedsiębiorstwa</w:t>
      </w:r>
      <w:r>
        <w:t xml:space="preserve"> </w:t>
      </w:r>
    </w:p>
    <w:p>
      <w:pPr>
        <w:pStyle w:val="Note"/>
      </w:pPr>
      <w:r>
        <w:t xml:space="preserve">2.1. Cel, pytania badawcze i zakres analizy</w:t>
      </w:r>
      <w:r>
        <w:t xml:space="preserve"> </w:t>
      </w:r>
    </w:p>
    <w:p>
      <w:pPr>
        <w:pStyle w:val="Note"/>
      </w:pPr>
      <w:r>
        <w:t xml:space="preserve">2.2. Materiał badawczy i źródła danych</w:t>
      </w:r>
      <w:r>
        <w:t xml:space="preserve"> </w:t>
      </w:r>
    </w:p>
    <w:p>
      <w:pPr>
        <w:pStyle w:val="Note"/>
      </w:pPr>
      <w:r>
        <w:t xml:space="preserve">2.3. Charakterystyka spółki X S.A. i jej otoczenia</w:t>
      </w:r>
      <w:r>
        <w:t xml:space="preserve"> </w:t>
      </w:r>
    </w:p>
    <w:p>
      <w:pPr>
        <w:pStyle w:val="Note"/>
      </w:pPr>
      <w:r>
        <w:t xml:space="preserve">Rozdział 3. Analiza kondycji finansowej X S.A. w latach 2021–2025</w:t>
      </w:r>
      <w:r>
        <w:t xml:space="preserve"> </w:t>
      </w:r>
    </w:p>
    <w:p>
      <w:pPr>
        <w:pStyle w:val="Note"/>
      </w:pPr>
      <w:r>
        <w:t xml:space="preserve">3.1. Analiza wstępna bilansu i rachunku zysków i strat</w:t>
      </w:r>
      <w:r>
        <w:t xml:space="preserve"> </w:t>
      </w:r>
    </w:p>
    <w:p>
      <w:pPr>
        <w:pStyle w:val="Note"/>
      </w:pPr>
      <w:r>
        <w:t xml:space="preserve">3.2. Analiza płynności finansowej</w:t>
      </w:r>
      <w:r>
        <w:t xml:space="preserve"> </w:t>
      </w:r>
    </w:p>
    <w:p>
      <w:pPr>
        <w:pStyle w:val="Note"/>
      </w:pPr>
      <w:r>
        <w:t xml:space="preserve">3.3. Analiza rentowności</w:t>
      </w:r>
      <w:r>
        <w:t xml:space="preserve"> </w:t>
      </w:r>
    </w:p>
    <w:p>
      <w:pPr>
        <w:pStyle w:val="Note"/>
      </w:pPr>
      <w:r>
        <w:t xml:space="preserve">3.4. Analiza zadłużenia i sprawności działania</w:t>
      </w:r>
      <w:r>
        <w:t xml:space="preserve"> </w:t>
      </w:r>
    </w:p>
    <w:p>
      <w:pPr>
        <w:pStyle w:val="Note"/>
      </w:pPr>
      <w:r>
        <w:t xml:space="preserve">3.5. Kondycja spółki na tle branży</w:t>
      </w:r>
      <w:r>
        <w:t xml:space="preserve"> </w:t>
      </w:r>
    </w:p>
    <w:p>
      <w:pPr>
        <w:pStyle w:val="Note"/>
      </w:pPr>
      <w:r>
        <w:t xml:space="preserve">Zakończenie — ocena syntetyczna i rekomendacje</w:t>
      </w:r>
      <w:r>
        <w:t xml:space="preserve"> </w:t>
      </w:r>
    </w:p>
    <w:p>
      <w:pPr>
        <w:pStyle w:val="Note"/>
      </w:pPr>
      <w:r>
        <w:t xml:space="preserve">Bibliografia · Spis tabel i wykresów</w:t>
      </w:r>
      <w:r>
        <w:t xml:space="preserve"> </w:t>
      </w:r>
    </w:p>
    <w:bookmarkEnd w:id="21"/>
    <w:bookmarkStart w:id="22" w:name="wstęp"/>
    <w:p>
      <w:pPr>
        <w:pStyle w:val="Heading1"/>
      </w:pPr>
      <w:r>
        <w:t xml:space="preserve">Wstęp</w:t>
      </w:r>
    </w:p>
    <w:p>
      <w:pPr>
        <w:pStyle w:val="Anno"/>
      </w:pPr>
      <w:r>
        <w:t xml:space="preserve">[Akapit 1 — po co komu analiza finansowa (kontekst decyzyjny: zarząd, inwestor, kredytodawca).]</w:t>
      </w:r>
    </w:p>
    <w:p>
      <w:pPr>
        <w:pStyle w:val="BodyText"/>
      </w:pPr>
      <w:r>
        <w:t xml:space="preserve">Ocena kondycji finansowej przedsiębiorstwa jest punktem wyjścia decyzji podejmowanych zarówno wewnątrz firmy (polityka finansowania, inwestycje), jak i przez jej otoczenie (banki, kontrahenci, inwestorzy). Analiza wskaźnikowa, mimo swojej pozornej prostoty, pozostaje podstawowym narzędziem tej oceny — pod warunkiem, że wskaźniki interpretuje się łącznie, w czasie i na tle branży, a nie w oderwaniu od kontekstu.</w:t>
      </w:r>
    </w:p>
    <w:p>
      <w:pPr>
        <w:pStyle w:val="Anno"/>
      </w:pPr>
      <w:r>
        <w:t xml:space="preserve">[Akapit 2 — cel i pytania badawcze. W pracy analityczno-finansowej hipotezy są opcjonalne; pytania badawcze wystarczą i są naturalniejsze.]</w:t>
      </w:r>
    </w:p>
    <w:p>
      <w:pPr>
        <w:pStyle w:val="BodyText"/>
      </w:pPr>
      <w:r>
        <w:t xml:space="preserve">Celem pracy jest ocena kondycji finansowej spółki X S.A. w latach 2021–2025 i jej porównanie z branżą. Pytania badawcze: jak kształtowały się płynność, rentowność, zadłużenie i sprawność działania spółki w badanym okresie? jakie tendencje ujawnia analiza pięcioletnia? jak wyniki spółki wypadają na tle wskaźników branżowych? jakie działania korygujące wynikają z przeprowadzonej analizy?</w:t>
      </w:r>
    </w:p>
    <w:p>
      <w:pPr>
        <w:pStyle w:val="Anno"/>
      </w:pPr>
      <w:r>
        <w:t xml:space="preserve">[Akapit 3 — materiał i metody. Podkreśl publiczną dostępność danych — to atut tego schematu pracy.]</w:t>
      </w:r>
    </w:p>
    <w:p>
      <w:pPr>
        <w:pStyle w:val="BodyText"/>
      </w:pPr>
      <w:r>
        <w:t xml:space="preserve">Materiał badawczy stanowią sprawozdania finansowe spółki za lata 2021–2025 pozyskane z eKRS oraz dane branżowe GUS (wyniki finansowe przedsiębiorstw według PKD). Zastosowano analizę wstępną (pionową i poziomą) oraz analizę wskaźnikową; formuły wskaźników i przyjęte wartości referencyjne zestawiono w rozdziale pierwszym z przypisami do literatury.</w:t>
      </w:r>
    </w:p>
    <w:bookmarkEnd w:id="22"/>
    <w:bookmarkStart w:id="24" w:name="X1d6c2e95f4e473574c3a86903e6ea9196c92c5d"/>
    <w:p>
      <w:pPr>
        <w:pStyle w:val="Heading1"/>
      </w:pPr>
      <w:r>
        <w:t xml:space="preserve">Rozdział 2. Metodyka badania i charakterystyka przedsiębiorstwa</w:t>
      </w:r>
    </w:p>
    <w:bookmarkStart w:id="23" w:name="materiał-badawczy-i-źródła-danych"/>
    <w:p>
      <w:pPr>
        <w:pStyle w:val="Heading2"/>
      </w:pPr>
      <w:r>
        <w:t xml:space="preserve">2.2. Materiał badawczy i źródła danych</w:t>
      </w:r>
    </w:p>
    <w:p>
      <w:pPr>
        <w:pStyle w:val="FirstParagraph"/>
      </w:pPr>
      <w:r>
        <w:t xml:space="preserve">Analizie poddano jednostkowe sprawozdania finansowe X S.A. za pięć kolejnych lat obrotowych: bilanse, rachunki zysków i strat (wariant kalkulacyjny) oraz rachunki przepływów pieniężnych, wraz ze sprawozdaniami z badania biegłego rewidenta. Dokumenty pozyskano z Repozytorium Dokumentów Finansowych eKRS. Jako tło porównawcze przyjęto wskaźniki dla działu PKD, w którym spółka prowadzi działalność podstawową, publikowane przez GUS w opracowaniu o wynikach finansowych przedsiębiorstw niefinansowych.</w:t>
      </w:r>
    </w:p>
    <w:p>
      <w:pPr>
        <w:pStyle w:val="Anno"/>
      </w:pPr>
      <w:r>
        <w:t xml:space="preserve">[eKRS (ekrs.ms.gov.pl) udostępnia sprawozdania każdej spółki wpisanej do KRS bezpłatnie — dzięki temu praca z FiR nie wymaga zgody firmy. Odnotuj datę pobrania dokumentów. Dla spółek giełdowych źródłem są też raporty okresowe (ESPI).]</w:t>
      </w:r>
    </w:p>
    <w:bookmarkEnd w:id="23"/>
    <w:bookmarkEnd w:id="24"/>
    <w:bookmarkStart w:id="28" w:name="Xc00a5ed54f0363a012c1037b696556e3cc5185a"/>
    <w:p>
      <w:pPr>
        <w:pStyle w:val="Heading1"/>
      </w:pPr>
      <w:r>
        <w:t xml:space="preserve">Rozdział 3. Analiza kondycji finansowej X S.A. w latach 2021–2025</w:t>
      </w:r>
    </w:p>
    <w:bookmarkStart w:id="26" w:name="analiza-płynności-finansowej"/>
    <w:p>
      <w:pPr>
        <w:pStyle w:val="Heading2"/>
      </w:pPr>
      <w:r>
        <w:t xml:space="preserve">3.2. Analiza płynności finansowej</w:t>
      </w:r>
    </w:p>
    <w:p>
      <w:pPr>
        <w:pStyle w:val="FirstParagraph"/>
      </w:pPr>
      <w:r>
        <w:t xml:space="preserve">Wskaźnik płynności bieżącej obniżył się w badanym okresie z 1,64 do 1,08, schodząc w 2025 roku poniżej dolnej granicy przedziału wartości referencyjnych (1,2–2,0).</w:t>
      </w:r>
      <w:r>
        <w:rPr>
          <w:rStyle w:val="FootnoteReference"/>
        </w:rPr>
        <w:footnoteReference w:id="25"/>
      </w:r>
      <w:r>
        <w:t xml:space="preserve"> </w:t>
      </w:r>
      <w:r>
        <w:t xml:space="preserve">Równoległy spadek wskaźnika płynności szybkiej (z 1,21 do 0,74) wskazuje, że zjawisko nie wynika wyłącznie z przyrostu zapasów. Zestawienie z dynamiką przychodów (wzrost o 61% w pięć lat) i wydłużającym się cyklem należności sugeruje, że spółka finansuje szybki wzrost sprzedaży kredytem kupieckim udzielanym odbiorcom, kosztem własnej płynności.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Wskaźnik</w:t>
            </w:r>
          </w:p>
        </w:tc>
        <w:tc>
          <w:tcPr/>
          <w:p>
            <w:pPr>
              <w:pStyle w:val="Compact"/>
            </w:pPr>
            <w:r>
              <w:t xml:space="preserve">2021</w:t>
            </w:r>
          </w:p>
        </w:tc>
        <w:tc>
          <w:tcPr/>
          <w:p>
            <w:pPr>
              <w:pStyle w:val="Compact"/>
            </w:pPr>
            <w:r>
              <w:t xml:space="preserve">2022</w:t>
            </w:r>
          </w:p>
        </w:tc>
        <w:tc>
          <w:tcPr/>
          <w:p>
            <w:pPr>
              <w:pStyle w:val="Compact"/>
            </w:pPr>
            <w:r>
              <w:t xml:space="preserve">2023</w:t>
            </w:r>
          </w:p>
        </w:tc>
        <w:tc>
          <w:tcPr/>
          <w:p>
            <w:pPr>
              <w:pStyle w:val="Compact"/>
            </w:pPr>
            <w:r>
              <w:t xml:space="preserve">2024</w:t>
            </w:r>
          </w:p>
        </w:tc>
        <w:tc>
          <w:tcPr/>
          <w:p>
            <w:pPr>
              <w:pStyle w:val="Compact"/>
            </w:pPr>
            <w:r>
              <w:t xml:space="preserve">2025</w:t>
            </w:r>
          </w:p>
        </w:tc>
      </w:tr>
      <w:tr>
        <w:tc>
          <w:tcPr/>
          <w:p>
            <w:pPr>
              <w:pStyle w:val="Compact"/>
            </w:pPr>
            <w:r>
              <w:t xml:space="preserve">Płynność bieżąca</w:t>
            </w:r>
          </w:p>
        </w:tc>
        <w:tc>
          <w:tcPr/>
          <w:p>
            <w:pPr>
              <w:pStyle w:val="Compact"/>
            </w:pPr>
            <w:r>
              <w:t xml:space="preserve">1,64</w:t>
            </w:r>
          </w:p>
        </w:tc>
        <w:tc>
          <w:tcPr/>
          <w:p>
            <w:pPr>
              <w:pStyle w:val="Compact"/>
            </w:pPr>
            <w:r>
              <w:t xml:space="preserve">1,52</w:t>
            </w:r>
          </w:p>
        </w:tc>
        <w:tc>
          <w:tcPr/>
          <w:p>
            <w:pPr>
              <w:pStyle w:val="Compact"/>
            </w:pPr>
            <w:r>
              <w:t xml:space="preserve">1,38</w:t>
            </w:r>
          </w:p>
        </w:tc>
        <w:tc>
          <w:tcPr/>
          <w:p>
            <w:pPr>
              <w:pStyle w:val="Compact"/>
            </w:pPr>
            <w:r>
              <w:t xml:space="preserve">1,19</w:t>
            </w:r>
          </w:p>
        </w:tc>
        <w:tc>
          <w:tcPr/>
          <w:p>
            <w:pPr>
              <w:pStyle w:val="Compact"/>
            </w:pPr>
            <w:r>
              <w:t xml:space="preserve">1,08</w:t>
            </w:r>
          </w:p>
        </w:tc>
      </w:tr>
      <w:tr>
        <w:tc>
          <w:tcPr/>
          <w:p>
            <w:pPr>
              <w:pStyle w:val="Compact"/>
            </w:pPr>
            <w:r>
              <w:t xml:space="preserve">Płynność szybka</w:t>
            </w:r>
          </w:p>
        </w:tc>
        <w:tc>
          <w:tcPr/>
          <w:p>
            <w:pPr>
              <w:pStyle w:val="Compact"/>
            </w:pPr>
            <w:r>
              <w:t xml:space="preserve">1,21</w:t>
            </w:r>
          </w:p>
        </w:tc>
        <w:tc>
          <w:tcPr/>
          <w:p>
            <w:pPr>
              <w:pStyle w:val="Compact"/>
            </w:pPr>
            <w:r>
              <w:t xml:space="preserve">1,10</w:t>
            </w:r>
          </w:p>
        </w:tc>
        <w:tc>
          <w:tcPr/>
          <w:p>
            <w:pPr>
              <w:pStyle w:val="Compact"/>
            </w:pPr>
            <w:r>
              <w:t xml:space="preserve">0,95</w:t>
            </w:r>
          </w:p>
        </w:tc>
        <w:tc>
          <w:tcPr/>
          <w:p>
            <w:pPr>
              <w:pStyle w:val="Compact"/>
            </w:pPr>
            <w:r>
              <w:t xml:space="preserve">0,82</w:t>
            </w:r>
          </w:p>
        </w:tc>
        <w:tc>
          <w:tcPr/>
          <w:p>
            <w:pPr>
              <w:pStyle w:val="Compact"/>
            </w:pPr>
            <w:r>
              <w:t xml:space="preserve">0,74</w:t>
            </w:r>
          </w:p>
        </w:tc>
      </w:tr>
      <w:tr>
        <w:tc>
          <w:tcPr/>
          <w:p>
            <w:pPr>
              <w:pStyle w:val="Compact"/>
            </w:pPr>
            <w:r>
              <w:t xml:space="preserve">Cykl należności (dni)</w:t>
            </w:r>
          </w:p>
        </w:tc>
        <w:tc>
          <w:tcPr/>
          <w:p>
            <w:pPr>
              <w:pStyle w:val="Compact"/>
            </w:pPr>
            <w:r>
              <w:t xml:space="preserve">48</w:t>
            </w:r>
          </w:p>
        </w:tc>
        <w:tc>
          <w:tcPr/>
          <w:p>
            <w:pPr>
              <w:pStyle w:val="Compact"/>
            </w:pPr>
            <w:r>
              <w:t xml:space="preserve">52</w:t>
            </w:r>
          </w:p>
        </w:tc>
        <w:tc>
          <w:tcPr/>
          <w:p>
            <w:pPr>
              <w:pStyle w:val="Compact"/>
            </w:pPr>
            <w:r>
              <w:t xml:space="preserve">57</w:t>
            </w:r>
          </w:p>
        </w:tc>
        <w:tc>
          <w:tcPr/>
          <w:p>
            <w:pPr>
              <w:pStyle w:val="Compact"/>
            </w:pPr>
            <w:r>
              <w:t xml:space="preserve">63</w:t>
            </w:r>
          </w:p>
        </w:tc>
        <w:tc>
          <w:tcPr/>
          <w:p>
            <w:pPr>
              <w:pStyle w:val="Compact"/>
            </w:pPr>
            <w:r>
              <w:t xml:space="preserve">68</w:t>
            </w:r>
          </w:p>
        </w:tc>
      </w:tr>
      <w:tr>
        <w:tc>
          <w:tcPr/>
          <w:p>
            <w:pPr>
              <w:pStyle w:val="Compact"/>
            </w:pPr>
            <w:r>
              <w:t xml:space="preserve">Cykl zobowiązań (dni)</w:t>
            </w:r>
          </w:p>
        </w:tc>
        <w:tc>
          <w:tcPr/>
          <w:p>
            <w:pPr>
              <w:pStyle w:val="Compact"/>
            </w:pPr>
            <w:r>
              <w:t xml:space="preserve">41</w:t>
            </w:r>
          </w:p>
        </w:tc>
        <w:tc>
          <w:tcPr/>
          <w:p>
            <w:pPr>
              <w:pStyle w:val="Compac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  <w:r>
              <w:t xml:space="preserve">38</w:t>
            </w:r>
          </w:p>
        </w:tc>
        <w:tc>
          <w:tcPr/>
          <w:p>
            <w:pPr>
              <w:pStyle w:val="Compact"/>
            </w:pPr>
            <w:r>
              <w:t xml:space="preserve">37</w:t>
            </w:r>
          </w:p>
        </w:tc>
        <w:tc>
          <w:tcPr/>
          <w:p>
            <w:pPr>
              <w:pStyle w:val="Compact"/>
            </w:pPr>
            <w:r>
              <w:t xml:space="preserve">35</w:t>
            </w:r>
          </w:p>
        </w:tc>
      </w:tr>
    </w:tbl>
    <w:p>
      <w:pPr>
        <w:pStyle w:val="Anno"/>
      </w:pPr>
      <w:r>
        <w:t xml:space="preserve">[Wzorzec dobrej analizy: liczby w tabeli (pięcioletni szereg!), a w tekście INTERPRETACJA ŁĄCZNA kilku wskaźników prowadząca do diagnozy. Samo „wskaźnik spadł z 1,64 do 1,08” to opis, nie analiza.]</w:t>
      </w:r>
    </w:p>
    <w:bookmarkEnd w:id="26"/>
    <w:bookmarkStart w:id="27" w:name="kondycja-spółki-na-tle-branży"/>
    <w:p>
      <w:pPr>
        <w:pStyle w:val="Heading2"/>
      </w:pPr>
      <w:r>
        <w:t xml:space="preserve">3.5. Kondycja spółki na tle branży</w:t>
      </w:r>
    </w:p>
    <w:p>
      <w:pPr>
        <w:pStyle w:val="FirstParagraph"/>
      </w:pPr>
      <w:r>
        <w:t xml:space="preserve">Rentowność sprzedaży netto spółki (7,4% w 2025 r.) przewyższa medianę branżową (4,1%), natomiast wskaźnik płynności bieżącej jest niższy od pierwszego kwartyla rozkładu branżowego. Taki profil — ponadprzeciętna rentowność przy napiętej płynności — jest charakterystyczny dla podmiotów w fazie ekspansji i wyznacza główny obszar ryzyka zidentyfikowany w pracy.</w:t>
      </w:r>
    </w:p>
    <w:bookmarkEnd w:id="27"/>
    <w:bookmarkEnd w:id="28"/>
    <w:bookmarkStart w:id="29" w:name="X62b2f232d2712ff2673f920c0ac1307480fab10"/>
    <w:p>
      <w:pPr>
        <w:pStyle w:val="Heading1"/>
      </w:pPr>
      <w:r>
        <w:t xml:space="preserve">Zakończenie — ocena syntetyczna i rekomendacje</w:t>
      </w:r>
    </w:p>
    <w:p>
      <w:pPr>
        <w:pStyle w:val="Anno"/>
      </w:pPr>
      <w:r>
        <w:t xml:space="preserve">[Zakończenie pracy analitycznej: odpowiedzi na pytania badawcze, ocena syntetyczna (mocne i słabe strony kondycji), rekomendacje i ograniczenia analizy (dane roczne, brak danych zarządczych, porównywalność po zmianach zasad rachunkowości).]</w:t>
      </w:r>
    </w:p>
    <w:p>
      <w:pPr>
        <w:pStyle w:val="BodyText"/>
      </w:pPr>
      <w:r>
        <w:t xml:space="preserve">Analiza pozwala ocenić kondycję finansową X S.A. jako dobrą w obszarze rentowności i sprawności, a napiętą w obszarze płynności. Rekomendacje: skrócenie cyklu należności (przegląd polityki kredytu kupieckiego, faktoring dla największych odbiorców) oraz wydłużenie finansowania — zastąpienie części zobowiązań krótkoterminowych kredytem długoterminowym. Ograniczeniem analizy jest oparcie na danych rocznych, które nie ujawniają sezonowości śródrocznej, oraz brak dostępu do danych zarządczych spółki.</w:t>
      </w:r>
    </w:p>
    <w:bookmarkEnd w:id="29"/>
    <w:bookmarkStart w:id="33" w:name="bibliografia"/>
    <w:p>
      <w:pPr>
        <w:pStyle w:val="Heading1"/>
      </w:pPr>
      <w:r>
        <w:t xml:space="preserve">Bibliografia</w:t>
      </w:r>
    </w:p>
    <w:p>
      <w:pPr>
        <w:pStyle w:val="Compact"/>
        <w:numPr>
          <w:ilvl w:val="0"/>
          <w:numId w:val="1001"/>
        </w:numPr>
      </w:pPr>
      <w:r>
        <w:t xml:space="preserve">Bień W.,</w:t>
      </w:r>
      <w:r>
        <w:t xml:space="preserve"> </w:t>
      </w:r>
      <w:r>
        <w:rPr>
          <w:i/>
          <w:iCs/>
        </w:rPr>
        <w:t xml:space="preserve">Zarządzanie finansami przedsiębiorstwa</w:t>
      </w:r>
      <w:r>
        <w:t xml:space="preserve">, Warszawa 2018.</w:t>
      </w:r>
    </w:p>
    <w:p>
      <w:pPr>
        <w:pStyle w:val="Compact"/>
        <w:numPr>
          <w:ilvl w:val="0"/>
          <w:numId w:val="1001"/>
        </w:numPr>
      </w:pPr>
      <w:r>
        <w:t xml:space="preserve">Gabrusewicz W.,</w:t>
      </w:r>
      <w:r>
        <w:t xml:space="preserve"> </w:t>
      </w:r>
      <w:r>
        <w:rPr>
          <w:i/>
          <w:iCs/>
        </w:rPr>
        <w:t xml:space="preserve">Metody analizy finansowej przedsiębiorstwa</w:t>
      </w:r>
      <w:r>
        <w:t xml:space="preserve">, Warszawa 2019.</w:t>
      </w:r>
    </w:p>
    <w:p>
      <w:pPr>
        <w:pStyle w:val="Compact"/>
        <w:numPr>
          <w:ilvl w:val="0"/>
          <w:numId w:val="1001"/>
        </w:numPr>
      </w:pPr>
      <w:r>
        <w:t xml:space="preserve">Sierpińska M., Jachna T.,</w:t>
      </w:r>
      <w:r>
        <w:t xml:space="preserve"> </w:t>
      </w:r>
      <w:r>
        <w:rPr>
          <w:i/>
          <w:iCs/>
        </w:rPr>
        <w:t xml:space="preserve">Ocena przedsiębiorstwa według standardów światowych</w:t>
      </w:r>
      <w:r>
        <w:t xml:space="preserve">, Warszawa 2004.</w:t>
      </w:r>
    </w:p>
    <w:p>
      <w:pPr>
        <w:pStyle w:val="Compact"/>
        <w:numPr>
          <w:ilvl w:val="0"/>
          <w:numId w:val="1001"/>
        </w:numPr>
      </w:pPr>
      <w:r>
        <w:t xml:space="preserve">Sprawozdania finansowe X S.A. za lata 2021–2025, Repozytorium Dokumentów Finansowych eKRS.</w:t>
      </w:r>
    </w:p>
    <w:p>
      <w:pPr>
        <w:pStyle w:val="Compact"/>
        <w:numPr>
          <w:ilvl w:val="0"/>
          <w:numId w:val="1001"/>
        </w:numPr>
      </w:pPr>
      <w:r>
        <w:t xml:space="preserve">GUS,</w:t>
      </w:r>
      <w:r>
        <w:t xml:space="preserve"> </w:t>
      </w:r>
      <w:r>
        <w:rPr>
          <w:i/>
          <w:iCs/>
        </w:rPr>
        <w:t xml:space="preserve">Wyniki finansowe przedsiębiorstw niefinansowych</w:t>
      </w:r>
      <w:r>
        <w:t xml:space="preserve"> </w:t>
      </w:r>
      <w:r>
        <w:t xml:space="preserve">(opracowania za lata 2021–2025), Warszawa.</w:t>
      </w:r>
    </w:p>
    <w:p>
      <w:pPr>
        <w:pStyle w:val="Anno"/>
      </w:pPr>
      <w:r>
        <w:t xml:space="preserve">[Sprawozdania finansowe i opracowania GUS wykazuj w bibliografii jako źródła — z rocznikami i miejscem pozyskania. Spis tabel i wykresów jest w tej pracy obowiązkowy.]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30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1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2">
        <w:r>
          <w:rPr>
            <w:rStyle w:val="Hyperlink"/>
            <w:b/>
            <w:bCs/>
          </w:rPr>
          <w:t xml:space="preserve">www.praca-magisterska.pl</w:t>
        </w:r>
      </w:hyperlink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Przedziały referencyjne za: M. Sierpińska, T. Jachna,</w:t>
      </w:r>
      <w:r>
        <w:t xml:space="preserve"> </w:t>
      </w:r>
      <w:r>
        <w:rPr>
          <w:i/>
          <w:iCs/>
        </w:rPr>
        <w:t xml:space="preserve">Ocena przedsiębiorstwa według standardów światowych</w:t>
      </w:r>
      <w:r>
        <w:t xml:space="preserve">, Warszawa 2004. Wartości referencyjne traktuj orientacyjnie — właściwym punktem odniesienia jest branża i trend.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smart-edu.ai" TargetMode="External" /><Relationship Type="http://schemas.openxmlformats.org/officeDocument/2006/relationships/hyperlink" Id="rId32" Target="https://www.praca-magisterska.pl" TargetMode="External" /><Relationship Type="http://schemas.openxmlformats.org/officeDocument/2006/relationships/hyperlink" Id="rId31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smart-edu.ai" TargetMode="External" /><Relationship Type="http://schemas.openxmlformats.org/officeDocument/2006/relationships/hyperlink" Id="rId32" Target="https://www.praca-magisterska.pl" TargetMode="External" /><Relationship Type="http://schemas.openxmlformats.org/officeDocument/2006/relationships/hyperlink" Id="rId31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2026-07-17T07:09:44Z</dcterms:created>
  <dcterms:modified xsi:type="dcterms:W3CDTF">2026-07-17T07:09:44Z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