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Geografii — Kierunek: Geografia</w:t>
      </w:r>
    </w:p>
    <w:p>
      <w:pPr>
        <w:pStyle w:val="Center"/>
      </w:pPr>
      <w:r>
        <w:rPr>
          <w:b/>
          <w:bCs/>
        </w:rPr>
        <w:t xml:space="preserve">Szymon Kaczmarek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Zmiany użytkowania ziemi w strefie podmiejskiej miasta X w latach 2000–2024 — analiza z wykorzystaniem narzędzi GIS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________________, prof. uczelni</w:t>
      </w:r>
    </w:p>
    <w:p>
      <w:pPr>
        <w:pStyle w:val="Center"/>
      </w:pPr>
      <w:r>
        <w:t xml:space="preserve">Poznań,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geografii w schemacie</w:t>
      </w:r>
      <w:r>
        <w:t xml:space="preserve"> </w:t>
      </w:r>
      <w:r>
        <w:rPr>
          <w:b/>
          <w:bCs/>
        </w:rPr>
        <w:t xml:space="preserve">analizy przestrzennej GIS</w:t>
      </w:r>
      <w:r>
        <w:t xml:space="preserve">: publiczne dane przestrzenne (CORINE, BDOT10k, ortofotomapy) → analiza zmian w oprogramowaniu GIS → macierz przejść i mapy → interpretacja procesów (suburbanizacja). Kartografia jest tu materiałem dowodowym pracy, nie ilustracją. Niebieskie adnotacje — usuń w swojej pracy. Wyniki liczbowe są przykładowe.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Celem pracy jest identyfikacja kierunków i natężenia zmian użytkowania ziemi w strefie podmiejskiej miasta X w latach 2000–2024 oraz ich interpretacja w kontekście procesów suburbanizacji. Analizę przeprowadzono w oprogramowaniu QGIS na podstawie danych CORINE Land Cover (poziomy 2000, 2012, 2024), zweryfikowanych i uszczegółowionych na podstawie ortofotomap z krajowego geoportalu oraz Bazy Danych Obiektów Topograficznych; kontekst demograficzny zapewniły dane Banku Danych Lokalnych GUS. Zmiany ujęto w macierzach przejść między kategoriami użytkowania dla dwóch podokresów oraz zobrazowano na mapach zmian. W badanym okresie powierzchnia terenów zabudowanych wzrosła o 64%, w przeważającej części kosztem gruntów ornych, przy wyraźnej koncentracji przyrostu wzdłuż głównych osi komunikacyjnych i przyspieszeniu procesu w drugim podokresie. Uzyskany obraz odpowiada modelowi suburbanizacji pasmowej; pracę zamykają wnioski dla polityki przestrzennej gmin strefy.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użytkowanie ziemi, suburbanizacja, GIS, CORINE Land Cover, strefa podmiejska.</w:t>
      </w:r>
    </w:p>
    <w:p>
      <w:pPr>
        <w:pStyle w:val="Anno"/>
      </w:pPr>
      <w:r>
        <w:t xml:space="preserve">[Streszczenie pracy GIS-owej: cel, obszar i okres, źródła danych z nazwami (CORINE, BDOT10k, BDL), metoda (macierze przejść), wynik liczbowy z wzorcem przestrzennym i rama interpretacyjna (suburbanizacja). Nazwy zbiorów danych są tu tym, czym normy w pracy technicznej.]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Wykaz skrótów</w:t>
      </w:r>
      <w:r>
        <w:t xml:space="preserve"> </w:t>
      </w:r>
    </w:p>
    <w:p>
      <w:pPr>
        <w:pStyle w:val="Note"/>
      </w:pPr>
      <w:r>
        <w:t xml:space="preserve">Wstęp — cel, zakres i układ pracy</w:t>
      </w:r>
      <w:r>
        <w:t xml:space="preserve"> </w:t>
      </w:r>
    </w:p>
    <w:p>
      <w:pPr>
        <w:pStyle w:val="Note"/>
      </w:pPr>
      <w:r>
        <w:t xml:space="preserve">Rozdział 1. Podstawy teoretyczne</w:t>
      </w:r>
      <w:r>
        <w:t xml:space="preserve"> </w:t>
      </w:r>
    </w:p>
    <w:p>
      <w:pPr>
        <w:pStyle w:val="Note"/>
      </w:pPr>
      <w:r>
        <w:t xml:space="preserve">1.1. Użytkowanie ziemi jako przedmiot badań geograficznych</w:t>
      </w:r>
      <w:r>
        <w:t xml:space="preserve"> </w:t>
      </w:r>
    </w:p>
    <w:p>
      <w:pPr>
        <w:pStyle w:val="Note"/>
      </w:pPr>
      <w:r>
        <w:t xml:space="preserve">1.2. Suburbanizacja — pojęcie, modele, skutki przestrzenne</w:t>
      </w:r>
      <w:r>
        <w:t xml:space="preserve"> </w:t>
      </w:r>
    </w:p>
    <w:p>
      <w:pPr>
        <w:pStyle w:val="Note"/>
      </w:pPr>
      <w:r>
        <w:t xml:space="preserve">1.3. Źródła danych o pokryciu i użytkowaniu terenu</w:t>
      </w:r>
      <w:r>
        <w:t xml:space="preserve"> </w:t>
      </w:r>
    </w:p>
    <w:p>
      <w:pPr>
        <w:pStyle w:val="Note"/>
      </w:pPr>
      <w:r>
        <w:t xml:space="preserve">Rozdział 2. Obszar badań</w:t>
      </w:r>
      <w:r>
        <w:t xml:space="preserve"> </w:t>
      </w:r>
    </w:p>
    <w:p>
      <w:pPr>
        <w:pStyle w:val="Note"/>
      </w:pPr>
      <w:r>
        <w:t xml:space="preserve">2.1. Delimitacja strefy podmiejskiej</w:t>
      </w:r>
      <w:r>
        <w:t xml:space="preserve"> </w:t>
      </w:r>
    </w:p>
    <w:p>
      <w:pPr>
        <w:pStyle w:val="Note"/>
      </w:pPr>
      <w:r>
        <w:t xml:space="preserve">2.2. Charakterystyka fizycznogeograficzna i społeczno-gospodarcza</w:t>
      </w:r>
      <w:r>
        <w:t xml:space="preserve"> </w:t>
      </w:r>
    </w:p>
    <w:p>
      <w:pPr>
        <w:pStyle w:val="Note"/>
      </w:pPr>
      <w:r>
        <w:t xml:space="preserve">Rozdział 3. Materiały i metody</w:t>
      </w:r>
      <w:r>
        <w:t xml:space="preserve"> </w:t>
      </w:r>
    </w:p>
    <w:p>
      <w:pPr>
        <w:pStyle w:val="Note"/>
      </w:pPr>
      <w:r>
        <w:t xml:space="preserve">3.1. Dane źródłowe i ich przygotowanie</w:t>
      </w:r>
      <w:r>
        <w:t xml:space="preserve"> </w:t>
      </w:r>
    </w:p>
    <w:p>
      <w:pPr>
        <w:pStyle w:val="Note"/>
      </w:pPr>
      <w:r>
        <w:t xml:space="preserve">3.2. Procedura analizy zmian w środowisku GIS</w:t>
      </w:r>
      <w:r>
        <w:t xml:space="preserve"> </w:t>
      </w:r>
    </w:p>
    <w:p>
      <w:pPr>
        <w:pStyle w:val="Note"/>
      </w:pPr>
      <w:r>
        <w:t xml:space="preserve">3.3. Weryfikacja danych i ocena dokładności</w:t>
      </w:r>
      <w:r>
        <w:t xml:space="preserve"> </w:t>
      </w:r>
    </w:p>
    <w:p>
      <w:pPr>
        <w:pStyle w:val="Note"/>
      </w:pPr>
      <w:r>
        <w:t xml:space="preserve">Rozdział 4. Zmiany użytkowania ziemi w latach 2000–2024</w:t>
      </w:r>
      <w:r>
        <w:t xml:space="preserve"> </w:t>
      </w:r>
    </w:p>
    <w:p>
      <w:pPr>
        <w:pStyle w:val="Note"/>
      </w:pPr>
      <w:r>
        <w:t xml:space="preserve">4.1. Struktura użytkowania w przekrojach czasowych</w:t>
      </w:r>
      <w:r>
        <w:t xml:space="preserve"> </w:t>
      </w:r>
    </w:p>
    <w:p>
      <w:pPr>
        <w:pStyle w:val="Note"/>
      </w:pPr>
      <w:r>
        <w:t xml:space="preserve">4.2. Macierze przejść — kierunki zmian</w:t>
      </w:r>
      <w:r>
        <w:t xml:space="preserve"> </w:t>
      </w:r>
    </w:p>
    <w:p>
      <w:pPr>
        <w:pStyle w:val="Note"/>
      </w:pPr>
      <w:r>
        <w:t xml:space="preserve">4.3. Rozkład przestrzenny zmian — mapy i strefy koncentracji</w:t>
      </w:r>
      <w:r>
        <w:t xml:space="preserve"> </w:t>
      </w:r>
    </w:p>
    <w:p>
      <w:pPr>
        <w:pStyle w:val="Note"/>
      </w:pPr>
      <w:r>
        <w:t xml:space="preserve">4.4. Zmiany a procesy demograficzne</w:t>
      </w:r>
      <w:r>
        <w:t xml:space="preserve"> </w:t>
      </w:r>
    </w:p>
    <w:p>
      <w:pPr>
        <w:pStyle w:val="Note"/>
      </w:pPr>
      <w:r>
        <w:t xml:space="preserve">Rozdział 5. Dyskusja i wnioski</w:t>
      </w:r>
      <w:r>
        <w:t xml:space="preserve"> </w:t>
      </w:r>
    </w:p>
    <w:p>
      <w:pPr>
        <w:pStyle w:val="Note"/>
      </w:pPr>
      <w:r>
        <w:t xml:space="preserve">Bibliografia i źródła danych · Spis map, rycin i tabel</w:t>
      </w:r>
      <w:r>
        <w:t xml:space="preserve"> </w:t>
      </w:r>
    </w:p>
    <w:bookmarkEnd w:id="21"/>
    <w:bookmarkStart w:id="24" w:name="rozdział-3.-materiały-i-metody"/>
    <w:p>
      <w:pPr>
        <w:pStyle w:val="Heading1"/>
      </w:pPr>
      <w:r>
        <w:t xml:space="preserve">Rozdział 3. Materiały i metody</w:t>
      </w:r>
    </w:p>
    <w:bookmarkStart w:id="22" w:name="dane-źródłowe-i-ich-przygotowanie"/>
    <w:p>
      <w:pPr>
        <w:pStyle w:val="Heading2"/>
      </w:pPr>
      <w:r>
        <w:t xml:space="preserve">3.1. Dane źródłowe i ich przygotowanie</w:t>
      </w:r>
    </w:p>
    <w:p>
      <w:pPr>
        <w:pStyle w:val="FirstParagraph"/>
      </w:pPr>
      <w:r>
        <w:t xml:space="preserve">Podstawę analizy stanowiły trzy grupy danych. Dane o pokryciu terenu pozyskano z programu CORINE Land Cover dla poziomów czasowych 2000, 2012 i 2024 (poziom szczegółowości 3). Ich weryfikację i uszczegółowienie w strefach zmian przeprowadzono na podstawie ortofotomap udostępnianych przez krajowy geoportal oraz warstw Bazy Danych Obiektów Topograficznych (BDOT10k). Kontekst demograficzny (ludność, migracje, pozwolenia na budowę w gminach strefy) zaczerpnięto z Banku Danych Lokalnych GUS. Wszystkie warstwy sprowadzono do układu PL-1992 i przycięto do granic obszaru badań; analizy wykonano w oprogramowaniu QGIS.</w:t>
      </w:r>
    </w:p>
    <w:p>
      <w:pPr>
        <w:pStyle w:val="Anno"/>
      </w:pPr>
      <w:r>
        <w:t xml:space="preserve">[Warsztat geografa: nazwane zbiory danych z poziomami czasowymi, procedura ujednolicenia (układ współrzędnych!), narzędzie. Wszystkie wymienione źródła są publiczne i bezpłatne — praca GIS-owa nie wymaga zakupu danych.]</w:t>
      </w:r>
    </w:p>
    <w:bookmarkEnd w:id="22"/>
    <w:bookmarkStart w:id="23" w:name="weryfikacja-danych-i-ocena-dokładności"/>
    <w:p>
      <w:pPr>
        <w:pStyle w:val="Heading2"/>
      </w:pPr>
      <w:r>
        <w:t xml:space="preserve">3.3. Weryfikacja danych i ocena dokładności</w:t>
      </w:r>
    </w:p>
    <w:p>
      <w:pPr>
        <w:pStyle w:val="FirstParagraph"/>
      </w:pPr>
      <w:r>
        <w:t xml:space="preserve">Ze względu na generalizację danych CORINE (minimalna jednostka kartowania 25 ha) przeprowadzono weryfikację klas użytkowania w 120 losowo rozmieszczonych punktach kontrolnych, porównując klasyfikację z ortofotomapą z odpowiedniego okresu. Zgodność ogólna wyniosła 89%, przy najniższej zgodności dla klas przejściowych (tereny budowy). Wpływ generalizacji na wyniki omówiono w ograniczeniach pracy; dla stref najintensywniejszych zmian analizę uzupełniono ręczną wektoryzacją zabudowy na podstawie ortofotomap.</w:t>
      </w:r>
    </w:p>
    <w:p>
      <w:pPr>
        <w:pStyle w:val="Anno"/>
      </w:pPr>
      <w:r>
        <w:t xml:space="preserve">[Ocena dokładności odróżnia analizę GIS od „kolorowania map”: losowe punkty kontrolne, zgodność ogólna, wskazanie słabych klas. Znajomość ograniczeń własnych danych (minimalna jednostka CORINE!) to pierwsza rzecz, o którą zapyta recenzent-geograf.]</w:t>
      </w:r>
    </w:p>
    <w:bookmarkEnd w:id="23"/>
    <w:bookmarkEnd w:id="24"/>
    <w:bookmarkStart w:id="27" w:name="Xc7e51501592f3f05a30e1604924ac886ca7f6dc"/>
    <w:p>
      <w:pPr>
        <w:pStyle w:val="Heading1"/>
      </w:pPr>
      <w:r>
        <w:t xml:space="preserve">Rozdział 4. Zmiany użytkowania ziemi w latach 2000–2024</w:t>
      </w:r>
    </w:p>
    <w:bookmarkStart w:id="25" w:name="macierze-przejść-kierunki-zmian"/>
    <w:p>
      <w:pPr>
        <w:pStyle w:val="Heading2"/>
      </w:pPr>
      <w:r>
        <w:t xml:space="preserve">4.2. Macierze przejść — kierunki zmian</w:t>
      </w:r>
    </w:p>
    <w:p>
      <w:pPr>
        <w:pStyle w:val="FirstParagraph"/>
      </w:pPr>
      <w:r>
        <w:t xml:space="preserve">Macierz przejść dla całego okresu wskazuje, że dominującym kierunkiem zmian była konwersja gruntów ornych w tereny zabudowy mieszkaniowej luźnej (58% powierzchni wszystkich zmian). Powierzchnia terenów zabudowanych wzrosła z 1 840 ha do 3 020 ha (+64%), przy czym tempo przyrostu w podokresie 2012–2024 było o połowę wyższe niż w latach 2000–2012.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Kierunek zmiany</w:t>
            </w:r>
          </w:p>
        </w:tc>
        <w:tc>
          <w:tcPr/>
          <w:p>
            <w:pPr>
              <w:pStyle w:val="Compact"/>
            </w:pPr>
            <w:r>
              <w:t xml:space="preserve">Powierzchnia [ha]</w:t>
            </w:r>
          </w:p>
        </w:tc>
        <w:tc>
          <w:tcPr/>
          <w:p>
            <w:pPr>
              <w:pStyle w:val="Compact"/>
            </w:pPr>
            <w:r>
              <w:t xml:space="preserve">Udział w zmianach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Grunty orne → zabudowa mieszkaniowa</w:t>
            </w:r>
          </w:p>
        </w:tc>
        <w:tc>
          <w:tcPr/>
          <w:p>
            <w:pPr>
              <w:pStyle w:val="Compact"/>
            </w:pPr>
            <w:r>
              <w:t xml:space="preserve">685</w:t>
            </w:r>
          </w:p>
        </w:tc>
        <w:tc>
          <w:tcPr/>
          <w:p>
            <w:pPr>
              <w:pStyle w:val="Compact"/>
            </w:pPr>
            <w:r>
              <w:t xml:space="preserve">58%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Grunty orne → tereny przemysłowo-usługowe</w:t>
            </w:r>
          </w:p>
        </w:tc>
        <w:tc>
          <w:tcPr/>
          <w:p>
            <w:pPr>
              <w:pStyle w:val="Compact"/>
            </w:pPr>
            <w:r>
              <w:t xml:space="preserve">214</w:t>
            </w:r>
          </w:p>
        </w:tc>
        <w:tc>
          <w:tcPr/>
          <w:p>
            <w:pPr>
              <w:pStyle w:val="Compact"/>
            </w:pPr>
            <w:r>
              <w:t xml:space="preserve">18%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Łąki i pastwiska → zabudowa</w:t>
            </w:r>
          </w:p>
        </w:tc>
        <w:tc>
          <w:tcPr/>
          <w:p>
            <w:pPr>
              <w:pStyle w:val="Compact"/>
            </w:pPr>
            <w:r>
              <w:t xml:space="preserve">142</w:t>
            </w:r>
          </w:p>
        </w:tc>
        <w:tc>
          <w:tcPr/>
          <w:p>
            <w:pPr>
              <w:pStyle w:val="Compact"/>
            </w:pPr>
            <w:r>
              <w:t xml:space="preserve">12%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Grunty orne → lasy (sukcesja/zalesienia)</w:t>
            </w:r>
          </w:p>
        </w:tc>
        <w:tc>
          <w:tcPr/>
          <w:p>
            <w:pPr>
              <w:pStyle w:val="Compact"/>
            </w:pPr>
            <w:r>
              <w:t xml:space="preserve">96</w:t>
            </w:r>
          </w:p>
        </w:tc>
        <w:tc>
          <w:tcPr/>
          <w:p>
            <w:pPr>
              <w:pStyle w:val="Compact"/>
            </w:pPr>
            <w:r>
              <w:t xml:space="preserve">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Pozostałe kierunki</w:t>
            </w:r>
          </w:p>
        </w:tc>
        <w:tc>
          <w:tcPr/>
          <w:p>
            <w:pPr>
              <w:pStyle w:val="Compact"/>
            </w:pPr>
            <w:r>
              <w:t xml:space="preserve">47</w:t>
            </w:r>
          </w:p>
        </w:tc>
        <w:tc>
          <w:tcPr/>
          <w:p>
            <w:pPr>
              <w:pStyle w:val="Compact"/>
            </w:pPr>
            <w:r>
              <w:t xml:space="preserve">4%</w:t>
            </w:r>
          </w:p>
        </w:tc>
      </w:tr>
    </w:tbl>
    <w:p>
      <w:pPr>
        <w:pStyle w:val="Anno"/>
      </w:pPr>
      <w:r>
        <w:t xml:space="preserve">[Macierz przejść (skąd → dokąd) to analityczne serce pracy o zmianach użytkowania. W pełnej pracy towarzyszą jej mapy: struktura w każdym przekroju czasowym + mapa zmian z lokalizacją konwersji. Każda mapa z pełnym wyposażeniem kartograficznym (skala, legenda, źródło, układ).]</w:t>
      </w:r>
    </w:p>
    <w:bookmarkEnd w:id="25"/>
    <w:bookmarkStart w:id="26" w:name="X7b0361a2c8658ab354320db8e59ddc874c48a75"/>
    <w:p>
      <w:pPr>
        <w:pStyle w:val="Heading2"/>
      </w:pPr>
      <w:r>
        <w:t xml:space="preserve">4.3. Rozkład przestrzenny zmian — mapy i strefy koncentracji</w:t>
      </w:r>
    </w:p>
    <w:p>
      <w:pPr>
        <w:pStyle w:val="FirstParagraph"/>
      </w:pPr>
      <w:r>
        <w:t xml:space="preserve">Przyrost zabudowy koncentruje się w trzech pasmach wzdłuż dróg wylotowych z miasta, sięgając w podokresie 2012–2024 dalej od granic miasta niż w podokresie wcześniejszym (mediana odległości nowej zabudowy od centrum wzrosła z 9,2 do 12,6 km). Układ pasmowy, rosnący zasięg i przyspieszenie procesu odpowiadają modelowi suburbanizacji pasmowej rozwijającej się wzdłuż korytarzy transportowych.</w:t>
      </w:r>
    </w:p>
    <w:bookmarkEnd w:id="26"/>
    <w:bookmarkEnd w:id="27"/>
    <w:bookmarkStart w:id="28" w:name="rozdział-5.-dyskusja-i-wnioski"/>
    <w:p>
      <w:pPr>
        <w:pStyle w:val="Heading1"/>
      </w:pPr>
      <w:r>
        <w:t xml:space="preserve">Rozdział 5. Dyskusja i wnioski</w:t>
      </w:r>
    </w:p>
    <w:p>
      <w:pPr>
        <w:pStyle w:val="FirstParagraph"/>
      </w:pPr>
      <w:r>
        <w:t xml:space="preserve">Uzyskany obraz zmian jest spójny z wynikami badań stref podmiejskich innych dużych miast Polski, zarówno co do dominującego kierunku konwersji, jak i pasmowego wzorca przestrzennego. Wnioski: (1) proces suburbanizacji w strefie X przyspiesza i rozlewa się na gminy drugiego pierścienia; (2) konwersja dotyka w największym stopniu gruntów ornych wysokich klas bonitacyjnych w pasmach komunikacyjnych, co powinno być przesłanką dla polityki przestrzennej gmin; (3) metodycznie — połączenie CORINE z weryfikacją ortofotomapową równoważy dostępność danych z wymogami dokładności w skali strefy podmiejskiej. Ograniczenia: generalizacja CORINE, nieciągłość metodyczna między poziomami czasowymi oraz analiza pokrycia terenu jako przybliżenia użytkowania.</w:t>
      </w:r>
    </w:p>
    <w:bookmarkEnd w:id="28"/>
    <w:bookmarkStart w:id="32" w:name="bibliografia-i-źródła-danych"/>
    <w:p>
      <w:pPr>
        <w:pStyle w:val="Heading1"/>
      </w:pPr>
      <w:r>
        <w:t xml:space="preserve">Bibliografia i źródła danych</w:t>
      </w:r>
    </w:p>
    <w:p>
      <w:pPr>
        <w:pStyle w:val="FirstParagraph"/>
      </w:pPr>
      <w:r>
        <w:rPr>
          <w:b/>
          <w:bCs/>
        </w:rPr>
        <w:t xml:space="preserve">Literatura</w:t>
      </w:r>
    </w:p>
    <w:p>
      <w:pPr>
        <w:pStyle w:val="Compact"/>
        <w:numPr>
          <w:ilvl w:val="0"/>
          <w:numId w:val="1001"/>
        </w:numPr>
      </w:pPr>
      <w:r>
        <w:t xml:space="preserve">Liszewski S. (red.),</w:t>
      </w:r>
      <w:r>
        <w:t xml:space="preserve"> </w:t>
      </w:r>
      <w:r>
        <w:rPr>
          <w:i/>
          <w:iCs/>
        </w:rPr>
        <w:t xml:space="preserve">Geografia urbanistyczna</w:t>
      </w:r>
      <w:r>
        <w:t xml:space="preserve">, Warszawa 2012.</w:t>
      </w:r>
    </w:p>
    <w:p>
      <w:pPr>
        <w:pStyle w:val="Compact"/>
        <w:numPr>
          <w:ilvl w:val="0"/>
          <w:numId w:val="1001"/>
        </w:numPr>
      </w:pPr>
      <w:r>
        <w:t xml:space="preserve">Lisowski A., Grochowski M.,</w:t>
      </w:r>
      <w:r>
        <w:t xml:space="preserve"> </w:t>
      </w:r>
      <w:r>
        <w:rPr>
          <w:i/>
          <w:iCs/>
        </w:rPr>
        <w:t xml:space="preserve">Procesy suburbanizacji. Uwarunkowania, formy i konsekwencje</w:t>
      </w:r>
      <w:r>
        <w:t xml:space="preserve">, Warszawa 2008.</w:t>
      </w:r>
    </w:p>
    <w:p>
      <w:pPr>
        <w:pStyle w:val="FirstParagraph"/>
      </w:pPr>
      <w:r>
        <w:rPr>
          <w:b/>
          <w:bCs/>
        </w:rPr>
        <w:t xml:space="preserve">Źródła danych</w:t>
      </w:r>
    </w:p>
    <w:p>
      <w:pPr>
        <w:pStyle w:val="Compact"/>
        <w:numPr>
          <w:ilvl w:val="0"/>
          <w:numId w:val="1002"/>
        </w:numPr>
      </w:pPr>
      <w:r>
        <w:t xml:space="preserve">CORINE Land Cover 2000, 2012, 2024 — Copernicus Land Monitoring Service.</w:t>
      </w:r>
    </w:p>
    <w:p>
      <w:pPr>
        <w:pStyle w:val="Compact"/>
        <w:numPr>
          <w:ilvl w:val="0"/>
          <w:numId w:val="1002"/>
        </w:numPr>
      </w:pPr>
      <w:r>
        <w:t xml:space="preserve">Baza Danych Obiektów Topograficznych (BDOT10k) i ortofotomapy — geoportal krajowy (data pobrania).</w:t>
      </w:r>
    </w:p>
    <w:p>
      <w:pPr>
        <w:pStyle w:val="Compact"/>
        <w:numPr>
          <w:ilvl w:val="0"/>
          <w:numId w:val="1002"/>
        </w:numPr>
      </w:pPr>
      <w:r>
        <w:t xml:space="preserve">Bank Danych Lokalnych GUS (kategorie: ludność, budownictwo), stan na 2026 r.</w:t>
      </w:r>
    </w:p>
    <w:p>
      <w:pPr>
        <w:pStyle w:val="Anno"/>
      </w:pPr>
      <w:r>
        <w:t xml:space="preserve">[Bibliografia z osobną sekcją źródeł danych przestrzennych — z poziomami czasowymi i datami pobrania. Spis map jest w pracy geograficznej odrębny od spisu rycin; mapy własne podpisuj „opracowanie własne na podstawie [dane]”.]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9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0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1">
        <w:r>
          <w:rPr>
            <w:rStyle w:val="Hyperlink"/>
            <w:b/>
            <w:bCs/>
          </w:rPr>
          <w:t xml:space="preserve">www.praca-magisterska.pl</w:t>
        </w:r>
      </w:hyperlink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smart-edu.ai" TargetMode="External" /><Relationship Type="http://schemas.openxmlformats.org/officeDocument/2006/relationships/hyperlink" Id="rId31" Target="https://www.praca-magisterska.pl" TargetMode="External" /><Relationship Type="http://schemas.openxmlformats.org/officeDocument/2006/relationships/hyperlink" Id="rId30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smart-edu.ai" TargetMode="External" /><Relationship Type="http://schemas.openxmlformats.org/officeDocument/2006/relationships/hyperlink" Id="rId31" Target="https://www.praca-magisterska.pl" TargetMode="External" /><Relationship Type="http://schemas.openxmlformats.org/officeDocument/2006/relationships/hyperlink" Id="rId30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2026-07-17T07:09:56Z</dcterms:created>
  <dcterms:modified xsi:type="dcterms:W3CDTF">2026-07-17T07:09:56Z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