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Historyczny — Kierunek: Historia</w:t>
      </w:r>
    </w:p>
    <w:p>
      <w:pPr>
        <w:pStyle w:val="Center"/>
      </w:pPr>
      <w:r>
        <w:rPr>
          <w:b/>
          <w:bCs/>
        </w:rPr>
        <w:t xml:space="preserve">Jan Kowalski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Życie codzienne mieszkańców [miasta] w dwudziestoleciu międzywojennym w świetle prasy lokalnej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hab. ________________, prof. UW</w:t>
      </w:r>
    </w:p>
    <w:p>
      <w:pPr>
        <w:pStyle w:val="Center"/>
      </w:pPr>
      <w:r>
        <w:t xml:space="preserve">[Miasto],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historii opartej na</w:t>
      </w:r>
      <w:r>
        <w:t xml:space="preserve"> </w:t>
      </w:r>
      <w:r>
        <w:rPr>
          <w:b/>
          <w:bCs/>
        </w:rPr>
        <w:t xml:space="preserve">analizie źródeł</w:t>
      </w:r>
      <w:r>
        <w:t xml:space="preserve"> </w:t>
      </w:r>
      <w:r>
        <w:t xml:space="preserve">z przykładową treścią i komentarzami. Niebieskie adnotacje opisują funkcję każdej części — usuń je w swojej pracy. Zwróć uwagę na krytykę źródeł, cytowanie materiałów w przypisach oraz podział bibliografii na</w:t>
      </w:r>
      <w:r>
        <w:t xml:space="preserve"> </w:t>
      </w:r>
      <w:r>
        <w:rPr>
          <w:b/>
          <w:bCs/>
        </w:rPr>
        <w:t xml:space="preserve">źródła</w:t>
      </w:r>
      <w:r>
        <w:t xml:space="preserve"> </w:t>
      </w:r>
      <w:r>
        <w:t xml:space="preserve">i</w:t>
      </w:r>
      <w:r>
        <w:t xml:space="preserve"> </w:t>
      </w:r>
      <w:r>
        <w:rPr>
          <w:b/>
          <w:bCs/>
        </w:rPr>
        <w:t xml:space="preserve">opracowania</w:t>
      </w:r>
      <w:r>
        <w:t xml:space="preserve"> </w:t>
      </w:r>
      <w:r>
        <w:t xml:space="preserve">— to cechy charakterystyczne warsztatu historyka.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Praca przedstawia obraz życia codziennego mieszkańców [miasta] w okresie dwudziestolecia międzywojennego, zrekonstruowany na podstawie prasy lokalnej. Celem pracy jest ukazanie warunków bytowych, form spędzania czasu wolnego i problemów społecznych miasta w świetle przekazu prasowego, przy uwzględnieniu jego specyfiki jako źródła. W pracy postawiono tezę, że prasa lokalna, mimo swojego perswazyjnego charakteru, stanowi cenne i niedoceniane źródło do badań nad codziennością. Zastosowano metodę analizy źródeł z krytyką wewnętrzną i zewnętrzną przekazu. Rozważania prowadzą do wniosków o przemianach codzienności miasta w badanym okresie.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życie codzienne, dwudziestolecie międzywojenne, prasa lokalna, historia społeczna, krytyka źródeł.</w:t>
      </w:r>
    </w:p>
    <w:p>
      <w:pPr>
        <w:pStyle w:val="Anno"/>
      </w:pPr>
      <w:r>
        <w:t xml:space="preserve">[W pracy historycznej streszczenie wskazuje przedmiot, ramy czasowe i przestrzenne, bazę źródłową, cel, tezę i metodę. Dołącz wersję angielską (Abstract), jeśli wymaga jej uczelnia.]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[Miasto] w dwudziestoleciu międzywojennym — tło historyczne</w:t>
      </w:r>
      <w:r>
        <w:t xml:space="preserve"> </w:t>
      </w:r>
    </w:p>
    <w:p>
      <w:pPr>
        <w:pStyle w:val="Note"/>
      </w:pPr>
      <w:r>
        <w:t xml:space="preserve">1.1. Położenie, ludność i gospodarka</w:t>
      </w:r>
      <w:r>
        <w:t xml:space="preserve"> </w:t>
      </w:r>
    </w:p>
    <w:p>
      <w:pPr>
        <w:pStyle w:val="Note"/>
      </w:pPr>
      <w:r>
        <w:t xml:space="preserve">1.2. Prasa lokalna jako źródło — charakterystyka i krytyka</w:t>
      </w:r>
      <w:r>
        <w:t xml:space="preserve"> </w:t>
      </w:r>
    </w:p>
    <w:p>
      <w:pPr>
        <w:pStyle w:val="Note"/>
      </w:pPr>
      <w:r>
        <w:t xml:space="preserve">Rozdział 2. Warunki życia codziennego</w:t>
      </w:r>
      <w:r>
        <w:t xml:space="preserve"> </w:t>
      </w:r>
    </w:p>
    <w:p>
      <w:pPr>
        <w:pStyle w:val="Note"/>
      </w:pPr>
      <w:r>
        <w:t xml:space="preserve">2.1. Mieszkania, zaopatrzenie i ceny</w:t>
      </w:r>
      <w:r>
        <w:t xml:space="preserve"> </w:t>
      </w:r>
    </w:p>
    <w:p>
      <w:pPr>
        <w:pStyle w:val="Note"/>
      </w:pPr>
      <w:r>
        <w:t xml:space="preserve">2.2. Zdrowie, higiena i bezpieczeństwo</w:t>
      </w:r>
      <w:r>
        <w:t xml:space="preserve"> </w:t>
      </w:r>
    </w:p>
    <w:p>
      <w:pPr>
        <w:pStyle w:val="Note"/>
      </w:pPr>
      <w:r>
        <w:t xml:space="preserve">Rozdział 3. Czas wolny i życie społeczne</w:t>
      </w:r>
      <w:r>
        <w:t xml:space="preserve"> </w:t>
      </w:r>
    </w:p>
    <w:p>
      <w:pPr>
        <w:pStyle w:val="Note"/>
      </w:pPr>
      <w:r>
        <w:t xml:space="preserve">3.1. Rozrywki, kultura i sport</w:t>
      </w:r>
      <w:r>
        <w:t xml:space="preserve"> </w:t>
      </w:r>
    </w:p>
    <w:p>
      <w:pPr>
        <w:pStyle w:val="Note"/>
      </w:pPr>
      <w:r>
        <w:t xml:space="preserve">3.2. Życie stowarzyszeniowe i religijne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(źródła i opracowania)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przedmiot pracy oraz jej ramy czasowe i przestrzenne. W historii precyzyjne określenie zakresu jest obowiązkowe.]</w:t>
      </w:r>
    </w:p>
    <w:p>
      <w:pPr>
        <w:pStyle w:val="BodyText"/>
      </w:pPr>
      <w:r>
        <w:t xml:space="preserve">Przedmiotem pracy jest życie codzienne mieszkańców [miasta] w okresie dwudziestolecia międzywojennego (1918–1939). Codzienność — warunki bytowe, praca, rozrywka, zdrowie — przez długi czas pozostawała na marginesie badań historycznych, dziś zaś stanowi jeden z głównych nurtów historii społecznej.</w:t>
      </w:r>
    </w:p>
    <w:p>
      <w:pPr>
        <w:pStyle w:val="Anno"/>
      </w:pPr>
      <w:r>
        <w:t xml:space="preserve">[Akapit 2 — baza źródłowa i TEZA. W historii kluczowe jest wskazanie, na jakich źródłach praca się opiera.]</w:t>
      </w:r>
    </w:p>
    <w:p>
      <w:pPr>
        <w:pStyle w:val="BodyText"/>
      </w:pPr>
      <w:r>
        <w:t xml:space="preserve">Podstawę źródłową pracy stanowi prasa lokalna ukazująca się w [mieście] w badanym okresie. W pracy postawiono tezę, że prasa lokalna — mimo perswazyjnego charakteru i ograniczeń — jest cennym, choć niedocenianym źródłem do rekonstrukcji życia codziennego.</w:t>
      </w:r>
    </w:p>
    <w:p>
      <w:pPr>
        <w:pStyle w:val="Anno"/>
      </w:pPr>
      <w:r>
        <w:t xml:space="preserve">[Akapit 3 — cel, metoda i stan badań oraz układ pracy.]</w:t>
      </w:r>
    </w:p>
    <w:p>
      <w:pPr>
        <w:pStyle w:val="BodyText"/>
      </w:pPr>
      <w:r>
        <w:t xml:space="preserve">Celem pracy jest rekonstrukcja obrazu codzienności miasta w świetle przekazu prasowego. Zastosowano metodę analizy źródeł, opartą na krytyce zewnętrznej i wewnętrznej przekazu. Praca składa się z trzech rozdziałów: pierwszy przedstawia tło i charakterystykę źródła, dwa kolejne rekonstruują wybrane obszary codzienności.</w:t>
      </w:r>
    </w:p>
    <w:bookmarkEnd w:id="22"/>
    <w:bookmarkStart w:id="24" w:name="X983fa9a5f1160a14edf13e422a7aaa17e6dc44d"/>
    <w:p>
      <w:pPr>
        <w:pStyle w:val="Heading1"/>
      </w:pPr>
      <w:r>
        <w:t xml:space="preserve">Rozdział 1. [Miasto] w dwudziestoleciu międzywojennym</w:t>
      </w:r>
    </w:p>
    <w:bookmarkStart w:id="23" w:name="X823725eb762cc70c043ec7404dd0d540b52549e"/>
    <w:p>
      <w:pPr>
        <w:pStyle w:val="Heading2"/>
      </w:pPr>
      <w:r>
        <w:t xml:space="preserve">1.2. Prasa lokalna jako źródło — charakterystyka i krytyka</w:t>
      </w:r>
    </w:p>
    <w:p>
      <w:pPr>
        <w:pStyle w:val="Anno"/>
      </w:pPr>
      <w:r>
        <w:t xml:space="preserve">[KRYTYKA ŹRÓDŁA to fundament warsztatu historyka. Krytyka zewnętrzna ustala autentyczność, autorstwo i czas powstania źródła; krytyka wewnętrzna ocenia wiarygodność i tendencyjność przekazu. Bez tego praca historyczna nie spełnia wymogów metodycznych.]</w:t>
      </w:r>
    </w:p>
    <w:p>
      <w:pPr>
        <w:pStyle w:val="BodyText"/>
      </w:pPr>
      <w:r>
        <w:t xml:space="preserve">Wykorzystana w pracy prasa lokalna wymaga krytycznej oceny jako źródło. Pod względem krytyki zewnętrznej zachowane roczniki są kompletne i dobrze datowane. Krytyka wewnętrzna nakazuje jednak ostrożność: tytuły prasowe bywały związane z określonymi środowiskami politycznymi, a doniesienia o życiu codziennym przeplatały się z perswazją. Informacje należy więc konfrontować między tytułami oraz z zachowanymi danymi statystycznymi.</w:t>
      </w:r>
    </w:p>
    <w:bookmarkEnd w:id="23"/>
    <w:bookmarkEnd w:id="24"/>
    <w:bookmarkStart w:id="27" w:name="rozdział-2.-warunki-życia-codziennego"/>
    <w:p>
      <w:pPr>
        <w:pStyle w:val="Heading1"/>
      </w:pPr>
      <w:r>
        <w:t xml:space="preserve">Rozdział 2. Warunki życia codziennego</w:t>
      </w:r>
    </w:p>
    <w:bookmarkStart w:id="26" w:name="mieszkania-zaopatrzenie-i-ceny"/>
    <w:p>
      <w:pPr>
        <w:pStyle w:val="Heading2"/>
      </w:pPr>
      <w:r>
        <w:t xml:space="preserve">2.1. Mieszkania, zaopatrzenie i ceny</w:t>
      </w:r>
    </w:p>
    <w:p>
      <w:pPr>
        <w:pStyle w:val="Anno"/>
      </w:pPr>
      <w:r>
        <w:t xml:space="preserve">[Trzon pracy historycznej to analiza źródeł: przytaczasz informację ze źródła (z przypisem), a następnie ją interpretujesz i osadzasz w kontekście. Nie referuj — analizuj i wiąż z tezą.]</w:t>
      </w:r>
    </w:p>
    <w:p>
      <w:pPr>
        <w:pStyle w:val="BodyText"/>
      </w:pPr>
      <w:r>
        <w:t xml:space="preserve">Doniesienia prasowe pozwalają odtworzyć codzienne troski mieszkańców związane z zaopatrzeniem i cenami podstawowych towarów.</w:t>
      </w:r>
      <w:r>
        <w:rPr>
          <w:rStyle w:val="FootnoteReference"/>
        </w:rPr>
        <w:footnoteReference w:id="25"/>
      </w:r>
      <w:r>
        <w:t xml:space="preserve"> </w:t>
      </w:r>
      <w:r>
        <w:t xml:space="preserve">Powracające na łamach skargi na drożyznę i braki w zaopatrzeniu świadczą o trwałości problemu, a zarazem o roli prasy jako rzecznika lokalnej opinii.</w:t>
      </w:r>
    </w:p>
    <w:p>
      <w:pPr>
        <w:pStyle w:val="Anno"/>
      </w:pPr>
      <w:r>
        <w:t xml:space="preserve">[Tak cytuje się źródło prasowe w przypisie: tytuł, numer, data, strona. Materiały archiwalne cytuje się z podaniem archiwum, zespołu i sygnatury jednostki.]</w:t>
      </w:r>
    </w:p>
    <w:bookmarkEnd w:id="26"/>
    <w:bookmarkEnd w:id="27"/>
    <w:bookmarkStart w:id="30" w:name="rozdział-3.-czas-wolny-i-życie-społeczne"/>
    <w:p>
      <w:pPr>
        <w:pStyle w:val="Heading1"/>
      </w:pPr>
      <w:r>
        <w:t xml:space="preserve">Rozdział 3. Czas wolny i życie społeczne</w:t>
      </w:r>
    </w:p>
    <w:bookmarkStart w:id="29" w:name="rozrywki-kultura-i-sport"/>
    <w:p>
      <w:pPr>
        <w:pStyle w:val="Heading2"/>
      </w:pPr>
      <w:r>
        <w:t xml:space="preserve">3.1. Rozrywki, kultura i sport</w:t>
      </w:r>
    </w:p>
    <w:p>
      <w:pPr>
        <w:pStyle w:val="FirstParagraph"/>
      </w:pPr>
      <w:r>
        <w:t xml:space="preserve">Łamy prasy lokalnej obficie informowały o życiu kulturalnym i sportowym miasta: seansach kinowych, występach teatralnych, zawodach sportowych i festynach.</w:t>
      </w:r>
      <w:r>
        <w:rPr>
          <w:rStyle w:val="FootnoteReference"/>
        </w:rPr>
        <w:footnoteReference w:id="28"/>
      </w:r>
      <w:r>
        <w:t xml:space="preserve"> </w:t>
      </w:r>
      <w:r>
        <w:t xml:space="preserve">Ich częstotliwość i ton pozwalają wnioskować o rosnącym znaczeniu zorganizowanych form spędzania czasu wolnego w badanym okresie.</w:t>
      </w:r>
    </w:p>
    <w:bookmarkEnd w:id="29"/>
    <w:bookmarkEnd w:id="30"/>
    <w:bookmarkStart w:id="31" w:name="zakończenie"/>
    <w:p>
      <w:pPr>
        <w:pStyle w:val="Heading1"/>
      </w:pPr>
      <w:r>
        <w:t xml:space="preserve">Zakończenie</w:t>
      </w:r>
    </w:p>
    <w:p>
      <w:pPr>
        <w:pStyle w:val="FirstParagraph"/>
      </w:pPr>
      <w:r>
        <w:t xml:space="preserve">Przeprowadzona analiza potwierdza tezę pracy: prasa lokalna, mimo swoich ograniczeń, okazała się wartościowym źródłem do rekonstrukcji życia codziennego [miasta] w dwudziestoleciu międzywojennym. Pozwoliła odtworzyć zarówno materialne warunki bytu, jak i formy życia społecznego, ukazując przemiany codzienności w badanym okresie. Ograniczeniem pozostaje tendencyjność przekazu prasowego, co wskazuje na potrzebę uzupełnienia badań o inne typy źródeł.</w:t>
      </w:r>
    </w:p>
    <w:bookmarkEnd w:id="31"/>
    <w:bookmarkStart w:id="35" w:name="bibliografia"/>
    <w:p>
      <w:pPr>
        <w:pStyle w:val="Heading1"/>
      </w:pPr>
      <w:r>
        <w:t xml:space="preserve">Bibliografia</w:t>
      </w:r>
    </w:p>
    <w:p>
      <w:pPr>
        <w:pStyle w:val="Anno"/>
      </w:pPr>
      <w:r>
        <w:t xml:space="preserve">[W pracy historycznej bibliografię dzieli się na ŹRÓDŁA (archiwalne, drukowane, prasa) oraz OPRACOWANIA (literatura naukowa). To podstawowy wymóg warsztatu historyka.]</w:t>
      </w:r>
    </w:p>
    <w:p>
      <w:pPr>
        <w:pStyle w:val="BodyText"/>
      </w:pPr>
      <w:r>
        <w:rPr>
          <w:b/>
          <w:bCs/>
        </w:rPr>
        <w:t xml:space="preserve">Źródła</w:t>
      </w:r>
    </w:p>
    <w:p>
      <w:pPr>
        <w:pStyle w:val="Compact"/>
        <w:numPr>
          <w:ilvl w:val="0"/>
          <w:numId w:val="1001"/>
        </w:numPr>
      </w:pPr>
      <w:r>
        <w:t xml:space="preserve">„Głos [Miasta]“, roczniki 1924–1939.</w:t>
      </w:r>
    </w:p>
    <w:p>
      <w:pPr>
        <w:pStyle w:val="Compact"/>
        <w:numPr>
          <w:ilvl w:val="0"/>
          <w:numId w:val="1001"/>
        </w:numPr>
      </w:pPr>
      <w:r>
        <w:t xml:space="preserve">„Kurier [Miasta]“, roczniki 1926–1939.</w:t>
      </w:r>
    </w:p>
    <w:p>
      <w:pPr>
        <w:pStyle w:val="FirstParagraph"/>
      </w:pPr>
      <w:r>
        <w:rPr>
          <w:b/>
          <w:bCs/>
        </w:rPr>
        <w:t xml:space="preserve">Opracowania</w:t>
      </w:r>
    </w:p>
    <w:p>
      <w:pPr>
        <w:pStyle w:val="Compact"/>
        <w:numPr>
          <w:ilvl w:val="0"/>
          <w:numId w:val="1002"/>
        </w:numPr>
      </w:pPr>
      <w:r>
        <w:t xml:space="preserve">Żarnowski, J. (1999).</w:t>
      </w:r>
      <w:r>
        <w:t xml:space="preserve"> </w:t>
      </w:r>
      <w:r>
        <w:rPr>
          <w:i/>
          <w:iCs/>
        </w:rPr>
        <w:t xml:space="preserve">Polska 1918–1939. Praca, technika, społeczeństwo</w:t>
      </w:r>
      <w:r>
        <w:t xml:space="preserve">. Warszawa: Książka i Wiedza.</w:t>
      </w:r>
    </w:p>
    <w:p>
      <w:pPr>
        <w:pStyle w:val="Compact"/>
        <w:numPr>
          <w:ilvl w:val="0"/>
          <w:numId w:val="1002"/>
        </w:numPr>
      </w:pPr>
      <w:r>
        <w:t xml:space="preserve">Mędrzecki, W. (2018).</w:t>
      </w:r>
      <w:r>
        <w:t xml:space="preserve"> </w:t>
      </w:r>
      <w:r>
        <w:rPr>
          <w:i/>
          <w:iCs/>
        </w:rPr>
        <w:t xml:space="preserve">Życie codzienne w międzywojennej Polsce</w:t>
      </w:r>
      <w:r>
        <w:t xml:space="preserve">. Warszawa: [wyd.].</w:t>
      </w:r>
    </w:p>
    <w:p>
      <w:pPr>
        <w:pStyle w:val="Compact"/>
        <w:numPr>
          <w:ilvl w:val="0"/>
          <w:numId w:val="1002"/>
        </w:numPr>
      </w:pPr>
      <w:r>
        <w:t xml:space="preserve">Topolski, J. (1984).</w:t>
      </w:r>
      <w:r>
        <w:t xml:space="preserve"> </w:t>
      </w:r>
      <w:r>
        <w:rPr>
          <w:i/>
          <w:iCs/>
        </w:rPr>
        <w:t xml:space="preserve">Metodologia historii</w:t>
      </w:r>
      <w:r>
        <w:t xml:space="preserve">. Warszawa: PWN.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2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3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4">
        <w:r>
          <w:rPr>
            <w:rStyle w:val="Hyperlink"/>
            <w:b/>
            <w:bCs/>
          </w:rPr>
          <w:t xml:space="preserve">www.praca-magisterska.pl</w:t>
        </w:r>
      </w:hyperlink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„Głos [Miasta]“, nr 45 z 12 marca 1928 r., s. 3.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„Kurier [Miasta]“, nr 112 z 28 czerwca 1935 r., s. 4.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smart-edu.ai" TargetMode="External" /><Relationship Type="http://schemas.openxmlformats.org/officeDocument/2006/relationships/hyperlink" Id="rId34" Target="https://www.praca-magisterska.pl" TargetMode="External" /><Relationship Type="http://schemas.openxmlformats.org/officeDocument/2006/relationships/hyperlink" Id="rId33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smart-edu.ai" TargetMode="External" /><Relationship Type="http://schemas.openxmlformats.org/officeDocument/2006/relationships/hyperlink" Id="rId34" Target="https://www.praca-magisterska.pl" TargetMode="External" /><Relationship Type="http://schemas.openxmlformats.org/officeDocument/2006/relationships/hyperlink" Id="rId33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2026-07-17T07:10:03Z</dcterms:created>
  <dcterms:modified xsi:type="dcterms:W3CDTF">2026-07-17T07:10:03Z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