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Center"/>
      </w:pPr>
      <w:r>
        <w:rPr>
          <w:b/>
          <w:bCs/>
        </w:rPr>
        <w:t xml:space="preserve">UNIWERSYTET MEDYCZNY ________________</w:t>
      </w:r>
    </w:p>
    <w:p>
      <w:pPr>
        <w:pStyle w:val="Center"/>
      </w:pPr>
      <w:r>
        <w:t xml:space="preserve">Wydział Nauk o Zdrowiu — Kierunek: Kosmetologia</w:t>
      </w:r>
    </w:p>
    <w:p>
      <w:pPr>
        <w:pStyle w:val="Center"/>
      </w:pPr>
      <w:r>
        <w:rPr>
          <w:b/>
          <w:bCs/>
        </w:rPr>
        <w:t xml:space="preserve">Weronika Jankowska</w:t>
      </w:r>
    </w:p>
    <w:p>
      <w:pPr>
        <w:pStyle w:val="Center"/>
      </w:pPr>
      <w:r>
        <w:t xml:space="preserve">nr albumu 000000</w:t>
      </w:r>
    </w:p>
    <w:p>
      <w:pPr>
        <w:pStyle w:val="Center"/>
      </w:pPr>
      <w:r>
        <w:rPr>
          <w:b/>
          <w:bCs/>
        </w:rPr>
        <w:t xml:space="preserve">Ocena wpływu serii zabiegów mikronakłuwania na parametry nawilżenia i bariery naskórkowej skóry twarzy — badanie z pomiarami aparaturowymi</w:t>
      </w:r>
    </w:p>
    <w:p>
      <w:pPr>
        <w:pStyle w:val="Center"/>
      </w:pPr>
      <w:r>
        <w:t xml:space="preserve">Praca magisterska</w:t>
      </w:r>
    </w:p>
    <w:p>
      <w:pPr>
        <w:pStyle w:val="Center"/>
      </w:pPr>
      <w:r>
        <w:t xml:space="preserve">napisana pod kierunkiem</w:t>
      </w:r>
    </w:p>
    <w:p>
      <w:pPr>
        <w:pStyle w:val="Center"/>
      </w:pPr>
      <w:r>
        <w:t xml:space="preserve">dr n. med. ________________</w:t>
      </w:r>
    </w:p>
    <w:p>
      <w:pPr>
        <w:pStyle w:val="Center"/>
      </w:pPr>
      <w:r>
        <w:t xml:space="preserve">Katowice, 2026</w:t>
      </w:r>
    </w:p>
    <w:p>
      <w:pPr>
        <w:pStyle w:val="Note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kompletny szkielet pracy magisterskiej z kosmetologii w najmocniejszym schemacie kierunku:</w:t>
      </w:r>
      <w:r>
        <w:t xml:space="preserve"> </w:t>
      </w:r>
      <w:r>
        <w:rPr>
          <w:b/>
          <w:bCs/>
        </w:rPr>
        <w:t xml:space="preserve">ocena skuteczności zabiegu z obiektywnymi pomiarami aparaturowymi</w:t>
      </w:r>
      <w:r>
        <w:t xml:space="preserve"> </w:t>
      </w:r>
      <w:r>
        <w:t xml:space="preserve">(przed serią i po niej), uzupełniona samooceną uczestniczek. Konwencja nauk o zdrowiu: streszczenie strukturalne, „Materiał i metody”, komisja bioetyczna, piśmiennictwo Vancouver. Niebieskie adnotacje — usuń w swojej pracy. Dane liczbowe są fikcyjne. Pełne poradniki: praca-magisterska.pl/poradniki/</w:t>
      </w:r>
    </w:p>
    <w:bookmarkStart w:id="20" w:name="streszczenie"/>
    <w:p>
      <w:pPr>
        <w:pStyle w:val="Heading1"/>
      </w:pPr>
      <w:r>
        <w:t xml:space="preserve">Streszczenie</w:t>
      </w:r>
    </w:p>
    <w:p>
      <w:pPr>
        <w:pStyle w:val="FirstParagraph"/>
      </w:pPr>
      <w:r>
        <w:rPr>
          <w:b/>
          <w:bCs/>
        </w:rPr>
        <w:t xml:space="preserve">Wstęp.</w:t>
      </w:r>
      <w:r>
        <w:t xml:space="preserve"> </w:t>
      </w:r>
      <w:r>
        <w:t xml:space="preserve">Mikronakłuwanie należy do najczęściej wykonywanych zabiegów stymulujących w gabinetach kosmetologicznych, a ocena jego efektów wymaga pomiarów obiektywnych, wykraczających poza deklaracje klientek.</w:t>
      </w:r>
    </w:p>
    <w:p>
      <w:pPr>
        <w:pStyle w:val="BodyText"/>
      </w:pPr>
      <w:r>
        <w:rPr>
          <w:b/>
          <w:bCs/>
        </w:rPr>
        <w:t xml:space="preserve">Cel pracy.</w:t>
      </w:r>
      <w:r>
        <w:t xml:space="preserve"> </w:t>
      </w:r>
      <w:r>
        <w:t xml:space="preserve">Ocena wpływu serii trzech zabiegów mikronakłuwania na nawilżenie warstwy rogowej naskórka i przeznaskórkową utratę wody (TEWL) skóry twarzy oraz porównanie wyników pomiarów z samooceną uczestniczek.</w:t>
      </w:r>
    </w:p>
    <w:p>
      <w:pPr>
        <w:pStyle w:val="BodyText"/>
      </w:pPr>
      <w:r>
        <w:rPr>
          <w:b/>
          <w:bCs/>
        </w:rPr>
        <w:t xml:space="preserve">Materiał i metody.</w:t>
      </w:r>
      <w:r>
        <w:t xml:space="preserve"> </w:t>
      </w:r>
      <w:r>
        <w:t xml:space="preserve">Badaniem objęto 32 kobiety w wieku 25–45 lat, zakwalifikowane według jawnych kryteriów włączenia i wykluczenia. Wykonano serię trzech zabiegów w odstępach czterotygodniowych. Nawilżenie mierzono metodą korneometryczną, a TEWL metodą tewametryczną, w trzech punktach pomiarowych, przed pierwszym zabiegiem i cztery tygodnie po ostatnim, w wystandaryzowanych warunkach. Samoocenę zebrano kwestionariuszem. Różnice weryfikowano testem t dla prób zależnych (p &lt; 0,05). Badanie uzyskało opinię komisji bioetycznej.</w:t>
      </w:r>
    </w:p>
    <w:p>
      <w:pPr>
        <w:pStyle w:val="BodyText"/>
      </w:pPr>
      <w:r>
        <w:rPr>
          <w:b/>
          <w:bCs/>
        </w:rPr>
        <w:t xml:space="preserve">Wyniki.</w:t>
      </w:r>
      <w:r>
        <w:t xml:space="preserve"> </w:t>
      </w:r>
      <w:r>
        <w:t xml:space="preserve">Średnie nawilżenie wzrosło o 18,4% (p &lt; 0,001), a TEWL obniżył się o 9,2% (p = 0,014), co wskazuje na poprawę funkcji barierowej. Poprawę w samoocenie zadeklarowały 84% uczestniczek; korelacja samooceny z obiektywną zmianą nawilżenia była umiarkowana (rho = 0,44).</w:t>
      </w:r>
    </w:p>
    <w:p>
      <w:pPr>
        <w:pStyle w:val="BodyText"/>
      </w:pPr>
      <w:r>
        <w:rPr>
          <w:b/>
          <w:bCs/>
        </w:rPr>
        <w:t xml:space="preserve">Wnioski.</w:t>
      </w:r>
      <w:r>
        <w:t xml:space="preserve"> </w:t>
      </w:r>
      <w:r>
        <w:t xml:space="preserve">Seria zabiegów mikronakłuwania poprawia nawilżenie i parametry bariery naskórkowej w badanej grupie, a rozbieżność między samooceną a pomiarami potwierdza konieczność stosowania metod aparaturowych w ocenie efektów zabiegów.</w:t>
      </w:r>
    </w:p>
    <w:p>
      <w:pPr>
        <w:pStyle w:val="BodyText"/>
      </w:pPr>
      <w:r>
        <w:rPr>
          <w:b/>
          <w:bCs/>
        </w:rPr>
        <w:t xml:space="preserve">Słowa kluczowe:</w:t>
      </w:r>
      <w:r>
        <w:t xml:space="preserve"> </w:t>
      </w:r>
      <w:r>
        <w:t xml:space="preserve">mikronakłuwanie, korneometria, TEWL, bariera naskórkowa, kosmetologia oparta na dowodach.</w:t>
      </w:r>
    </w:p>
    <w:p>
      <w:pPr>
        <w:pStyle w:val="Anno"/>
      </w:pPr>
      <w:r>
        <w:t xml:space="preserve">[Streszczenie strukturalne z liczbami: wielkość grupy, protokół (ile zabiegów, jakie odstępy), parametry, zmiany procentowe z wartościami p. Sygnatura dobrej pracy z kosmetologii: pomiar obiektywny + samoocena + ich porównanie.]</w:t>
      </w:r>
    </w:p>
    <w:bookmarkEnd w:id="20"/>
    <w:bookmarkStart w:id="21" w:name="spis-treści"/>
    <w:p>
      <w:pPr>
        <w:pStyle w:val="Heading1"/>
      </w:pPr>
      <w:r>
        <w:t xml:space="preserve">Spis treści</w:t>
      </w:r>
    </w:p>
    <w:p>
      <w:pPr>
        <w:pStyle w:val="Note"/>
      </w:pPr>
      <w:r>
        <w:t xml:space="preserve">Wykaz skrótów</w:t>
      </w:r>
      <w:r>
        <w:t xml:space="preserve"> </w:t>
      </w:r>
    </w:p>
    <w:p>
      <w:pPr>
        <w:pStyle w:val="Note"/>
      </w:pPr>
      <w:r>
        <w:t xml:space="preserve">Wstęp</w:t>
      </w:r>
      <w:r>
        <w:t xml:space="preserve"> </w:t>
      </w:r>
    </w:p>
    <w:p>
      <w:pPr>
        <w:pStyle w:val="Note"/>
      </w:pPr>
      <w:r>
        <w:t xml:space="preserve">Rozdział 1. Podstawy teoretyczne</w:t>
      </w:r>
      <w:r>
        <w:t xml:space="preserve"> </w:t>
      </w:r>
    </w:p>
    <w:p>
      <w:pPr>
        <w:pStyle w:val="Note"/>
      </w:pPr>
      <w:r>
        <w:t xml:space="preserve">1.1. Budowa i funkcje bariery naskórkowej</w:t>
      </w:r>
      <w:r>
        <w:t xml:space="preserve"> </w:t>
      </w:r>
    </w:p>
    <w:p>
      <w:pPr>
        <w:pStyle w:val="Note"/>
      </w:pPr>
      <w:r>
        <w:t xml:space="preserve">1.2. Mikronakłuwanie — mechanizm działania i wskazania</w:t>
      </w:r>
      <w:r>
        <w:t xml:space="preserve"> </w:t>
      </w:r>
    </w:p>
    <w:p>
      <w:pPr>
        <w:pStyle w:val="Note"/>
      </w:pPr>
      <w:r>
        <w:t xml:space="preserve">1.3. Aparaturowe metody oceny parametrów skóry</w:t>
      </w:r>
      <w:r>
        <w:t xml:space="preserve"> </w:t>
      </w:r>
    </w:p>
    <w:p>
      <w:pPr>
        <w:pStyle w:val="Note"/>
      </w:pPr>
      <w:r>
        <w:t xml:space="preserve">1.4. Przegląd badań nad skutecznością mikronakłuwania</w:t>
      </w:r>
      <w:r>
        <w:t xml:space="preserve"> </w:t>
      </w:r>
    </w:p>
    <w:p>
      <w:pPr>
        <w:pStyle w:val="Note"/>
      </w:pPr>
      <w:r>
        <w:t xml:space="preserve">Rozdział 2. Materiał i metody</w:t>
      </w:r>
      <w:r>
        <w:t xml:space="preserve"> </w:t>
      </w:r>
    </w:p>
    <w:p>
      <w:pPr>
        <w:pStyle w:val="Note"/>
      </w:pPr>
      <w:r>
        <w:t xml:space="preserve">2.1. Cel pracy, pytania badawcze i hipotezy</w:t>
      </w:r>
      <w:r>
        <w:t xml:space="preserve"> </w:t>
      </w:r>
    </w:p>
    <w:p>
      <w:pPr>
        <w:pStyle w:val="Note"/>
      </w:pPr>
      <w:r>
        <w:t xml:space="preserve">2.2. Charakterystyka grupy badanej i kryteria kwalifikacji</w:t>
      </w:r>
      <w:r>
        <w:t xml:space="preserve"> </w:t>
      </w:r>
    </w:p>
    <w:p>
      <w:pPr>
        <w:pStyle w:val="Note"/>
      </w:pPr>
      <w:r>
        <w:t xml:space="preserve">2.3. Protokół zabiegowy</w:t>
      </w:r>
      <w:r>
        <w:t xml:space="preserve"> </w:t>
      </w:r>
    </w:p>
    <w:p>
      <w:pPr>
        <w:pStyle w:val="Note"/>
      </w:pPr>
      <w:r>
        <w:t xml:space="preserve">2.4. Procedura pomiarowa i warunki standaryzacji</w:t>
      </w:r>
      <w:r>
        <w:t xml:space="preserve"> </w:t>
      </w:r>
    </w:p>
    <w:p>
      <w:pPr>
        <w:pStyle w:val="Note"/>
      </w:pPr>
      <w:r>
        <w:t xml:space="preserve">2.5. Analiza statystyczna i kwestie etyczne</w:t>
      </w:r>
      <w:r>
        <w:t xml:space="preserve"> </w:t>
      </w:r>
    </w:p>
    <w:p>
      <w:pPr>
        <w:pStyle w:val="Note"/>
      </w:pPr>
      <w:r>
        <w:t xml:space="preserve">Rozdział 3. Wyniki</w:t>
      </w:r>
      <w:r>
        <w:t xml:space="preserve"> </w:t>
      </w:r>
    </w:p>
    <w:p>
      <w:pPr>
        <w:pStyle w:val="Note"/>
      </w:pPr>
      <w:r>
        <w:t xml:space="preserve">3.1. Parametry nawilżenia przed serią zabiegów i po niej</w:t>
      </w:r>
      <w:r>
        <w:t xml:space="preserve"> </w:t>
      </w:r>
    </w:p>
    <w:p>
      <w:pPr>
        <w:pStyle w:val="Note"/>
      </w:pPr>
      <w:r>
        <w:t xml:space="preserve">3.2. Przeznaskórkowa utrata wody</w:t>
      </w:r>
      <w:r>
        <w:t xml:space="preserve"> </w:t>
      </w:r>
    </w:p>
    <w:p>
      <w:pPr>
        <w:pStyle w:val="Note"/>
      </w:pPr>
      <w:r>
        <w:t xml:space="preserve">3.3. Samoocena uczestniczek a wyniki pomiarów</w:t>
      </w:r>
      <w:r>
        <w:t xml:space="preserve"> </w:t>
      </w:r>
    </w:p>
    <w:p>
      <w:pPr>
        <w:pStyle w:val="Note"/>
      </w:pPr>
      <w:r>
        <w:t xml:space="preserve">Rozdział 4. Dyskusja</w:t>
      </w:r>
      <w:r>
        <w:t xml:space="preserve"> </w:t>
      </w:r>
    </w:p>
    <w:p>
      <w:pPr>
        <w:pStyle w:val="Note"/>
      </w:pPr>
      <w:r>
        <w:t xml:space="preserve">Wnioski</w:t>
      </w:r>
      <w:r>
        <w:t xml:space="preserve"> </w:t>
      </w:r>
    </w:p>
    <w:p>
      <w:pPr>
        <w:pStyle w:val="Note"/>
      </w:pPr>
      <w:r>
        <w:t xml:space="preserve">Piśmiennictwo · Spis tabel i rycin · Załączniki</w:t>
      </w:r>
      <w:r>
        <w:t xml:space="preserve"> </w:t>
      </w:r>
    </w:p>
    <w:bookmarkEnd w:id="21"/>
    <w:bookmarkStart w:id="24" w:name="rozdział-2.-materiał-i-metody"/>
    <w:p>
      <w:pPr>
        <w:pStyle w:val="Heading1"/>
      </w:pPr>
      <w:r>
        <w:t xml:space="preserve">Rozdział 2. Materiał i metody</w:t>
      </w:r>
    </w:p>
    <w:bookmarkStart w:id="22" w:name="X12664bd8eac2fa573cda6dcc5cdec8ef8d17e85"/>
    <w:p>
      <w:pPr>
        <w:pStyle w:val="Heading2"/>
      </w:pPr>
      <w:r>
        <w:t xml:space="preserve">2.2. Charakterystyka grupy badanej i kryteria kwalifikacji</w:t>
      </w:r>
    </w:p>
    <w:p>
      <w:pPr>
        <w:pStyle w:val="FirstParagraph"/>
      </w:pPr>
      <w:r>
        <w:t xml:space="preserve">Do badania zakwalifikowano 32 kobiety w wieku 25–45 lat. Kryteria włączenia: skóra bez aktywnych zmian zapalnych w obrębie twarzy, brak zabiegów złuszczających i stymulujących w okresie 3 miesięcy przed badaniem, pisemna świadoma zgoda. Kryteria wykluczenia: ciąża i laktacja, skłonność do bliznowców, terapia retinoidami, choroby skóry w fazie aktywnej, zaburzenia krzepnięcia. Uczestniczki zobowiązały się do niezmieniania pielęgnacji domowej w okresie badania, co kontrolowano ankietą przy każdej wizycie.</w:t>
      </w:r>
    </w:p>
    <w:p>
      <w:pPr>
        <w:pStyle w:val="Anno"/>
      </w:pPr>
      <w:r>
        <w:t xml:space="preserve">[Kryteria kwalifikacji w pracy zabiegowej pełnią podwójną rolę: bezpieczeństwa (przeciwwskazania!) i rzetelności (stała pielęgnacja domowa jako kontrola zmiennych zakłócających). Recenzent-kosmetolog sprawdzi oba aspekty.]</w:t>
      </w:r>
    </w:p>
    <w:bookmarkEnd w:id="22"/>
    <w:bookmarkStart w:id="23" w:name="Xca4a7188cee61040052fb01b7400a08be152105"/>
    <w:p>
      <w:pPr>
        <w:pStyle w:val="Heading2"/>
      </w:pPr>
      <w:r>
        <w:t xml:space="preserve">2.4. Procedura pomiarowa i warunki standaryzacji</w:t>
      </w:r>
    </w:p>
    <w:p>
      <w:pPr>
        <w:pStyle w:val="FirstParagraph"/>
      </w:pPr>
      <w:r>
        <w:t xml:space="preserve">Pomiary wykonano przed pierwszym zabiegiem oraz cztery tygodnie po ostatnim, każdorazowo w tych samych warunkach: po 20-minutowej aklimatyzacji w pomieszczeniu o temperaturze 20–22°C i wilgotności względnej 40–50%, minimum 12 godzin od ostatniej aplikacji kosmetyków. Nawilżenie warstwy rogowej mierzono metodą korneometryczną, a przeznaskórkową utratę wody (TEWL) metodą tewametryczną, w trzech punktach pomiarowych (czoło, policzek prawy, policzek lewy), przyjmując do analizy średnią z trzech odczytów w każdym punkcie.</w:t>
      </w:r>
    </w:p>
    <w:p>
      <w:pPr>
        <w:pStyle w:val="Anno"/>
      </w:pPr>
      <w:r>
        <w:t xml:space="preserve">[Serce warsztatu kosmetologii: STANDARYZACJA pomiaru (aklimatyzacja, temperatura, wilgotność, odstęp od aplikacji kosmetyków, te same punkty pomiarowe, uśrednienie odczytów). Bez tego akapitu wyniki aparaturowe są niewiarygodne — parametry skóry silnie zależą od warunków otoczenia.]</w:t>
      </w:r>
    </w:p>
    <w:bookmarkEnd w:id="23"/>
    <w:bookmarkEnd w:id="24"/>
    <w:bookmarkStart w:id="27" w:name="rozdział-3.-wyniki"/>
    <w:p>
      <w:pPr>
        <w:pStyle w:val="Heading1"/>
      </w:pPr>
      <w:r>
        <w:t xml:space="preserve">Rozdział 3. Wyniki</w:t>
      </w:r>
    </w:p>
    <w:bookmarkStart w:id="25" w:name="X196d9df3e5cd9d1690f980c9253323f42f78b2e"/>
    <w:p>
      <w:pPr>
        <w:pStyle w:val="Heading2"/>
      </w:pPr>
      <w:r>
        <w:t xml:space="preserve">3.1. Parametry nawilżenia przed serią zabiegów i po niej</w:t>
      </w:r>
    </w:p>
    <w:p>
      <w:pPr>
        <w:pStyle w:val="FirstParagraph"/>
      </w:pPr>
      <w:r>
        <w:t xml:space="preserve">Średni poziom nawilżenia wzrósł we wszystkich punktach pomiarowych; zmiana dla uśrednionego wyniku z trzech punktów wyniosła +18,4% i była istotna statystycznie (t = 5,92; p &lt; 0,001).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Parametr</w:t>
            </w:r>
          </w:p>
        </w:tc>
        <w:tc>
          <w:tcPr/>
          <w:p>
            <w:pPr>
              <w:pStyle w:val="Compact"/>
            </w:pPr>
            <w:r>
              <w:t xml:space="preserve">Przed serią</w:t>
            </w:r>
          </w:p>
        </w:tc>
        <w:tc>
          <w:tcPr/>
          <w:p>
            <w:pPr>
              <w:pStyle w:val="Compact"/>
            </w:pPr>
            <w:r>
              <w:t xml:space="preserve">Po serii</w:t>
            </w:r>
          </w:p>
        </w:tc>
        <w:tc>
          <w:tcPr/>
          <w:p>
            <w:pPr>
              <w:pStyle w:val="Compact"/>
            </w:pPr>
            <w:r>
              <w:t xml:space="preserve">Zmiana</w:t>
            </w:r>
          </w:p>
        </w:tc>
        <w:tc>
          <w:tcPr/>
          <w:p>
            <w:pPr>
              <w:pStyle w:val="Compact"/>
            </w:pPr>
            <w:r>
              <w:t xml:space="preserve">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Nawilżenie (j.u.)</w:t>
            </w:r>
          </w:p>
        </w:tc>
        <w:tc>
          <w:tcPr/>
          <w:p>
            <w:pPr>
              <w:pStyle w:val="Compact"/>
            </w:pPr>
            <w:r>
              <w:t xml:space="preserve">38,2</w:t>
            </w:r>
          </w:p>
        </w:tc>
        <w:tc>
          <w:tcPr/>
          <w:p>
            <w:pPr>
              <w:pStyle w:val="Compact"/>
            </w:pPr>
            <w:r>
              <w:t xml:space="preserve">45,2</w:t>
            </w:r>
          </w:p>
        </w:tc>
        <w:tc>
          <w:tcPr/>
          <w:p>
            <w:pPr>
              <w:pStyle w:val="Compact"/>
            </w:pPr>
            <w:r>
              <w:t xml:space="preserve">+18,4%</w:t>
            </w:r>
          </w:p>
        </w:tc>
        <w:tc>
          <w:tcPr/>
          <w:p>
            <w:pPr>
              <w:pStyle w:val="Compact"/>
            </w:pPr>
            <w:r>
              <w:t xml:space="preserve">&lt; 0,001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TEWL (g/m²/h)</w:t>
            </w:r>
          </w:p>
        </w:tc>
        <w:tc>
          <w:tcPr/>
          <w:p>
            <w:pPr>
              <w:pStyle w:val="Compact"/>
            </w:pPr>
            <w:r>
              <w:t xml:space="preserve">14,1</w:t>
            </w:r>
          </w:p>
        </w:tc>
        <w:tc>
          <w:tcPr/>
          <w:p>
            <w:pPr>
              <w:pStyle w:val="Compact"/>
            </w:pPr>
            <w:r>
              <w:t xml:space="preserve">12,8</w:t>
            </w:r>
          </w:p>
        </w:tc>
        <w:tc>
          <w:tcPr/>
          <w:p>
            <w:pPr>
              <w:pStyle w:val="Compact"/>
            </w:pPr>
            <w:r>
              <w:t xml:space="preserve">−9,2%</w:t>
            </w:r>
          </w:p>
        </w:tc>
        <w:tc>
          <w:tcPr/>
          <w:p>
            <w:pPr>
              <w:pStyle w:val="Compact"/>
            </w:pPr>
            <w:r>
              <w:t xml:space="preserve">0,014</w:t>
            </w:r>
          </w:p>
        </w:tc>
      </w:tr>
    </w:tbl>
    <w:p>
      <w:pPr>
        <w:pStyle w:val="Anno"/>
      </w:pPr>
      <w:r>
        <w:t xml:space="preserve">[Tabela przed–po z jednostkami i wartościami p; „j.u.” = jednostki umowne aparatu. Pod tabelą „Źródło: badania własne”. Zwróć uwagę na kierunek interpretacji: spadek TEWL to poprawa (mniejsza ucieczka wody = lepsza bariera).]</w:t>
      </w:r>
    </w:p>
    <w:bookmarkEnd w:id="25"/>
    <w:bookmarkStart w:id="26" w:name="samoocena-uczestniczek-a-wyniki-pomiarów"/>
    <w:p>
      <w:pPr>
        <w:pStyle w:val="Heading2"/>
      </w:pPr>
      <w:r>
        <w:t xml:space="preserve">3.3. Samoocena uczestniczek a wyniki pomiarów</w:t>
      </w:r>
    </w:p>
    <w:p>
      <w:pPr>
        <w:pStyle w:val="FirstParagraph"/>
      </w:pPr>
      <w:r>
        <w:t xml:space="preserve">Poprawę nawilżenia skóry zadeklarowały w kwestionariuszu 84% uczestniczek, jednak korelacja samooceny z obiektywną zmianą korneometryczną była umiarkowana (rho Spearmana = 0,44; p = 0,012). U sześciu uczestniczek deklarowana poprawa nie znalazła potwierdzenia w pomiarach, co ilustruje ograniczoną trafność samooceny jako jedynego kryterium skuteczności zabiegów.</w:t>
      </w:r>
    </w:p>
    <w:bookmarkEnd w:id="26"/>
    <w:bookmarkEnd w:id="27"/>
    <w:bookmarkStart w:id="28" w:name="rozdział-4.-dyskusja"/>
    <w:p>
      <w:pPr>
        <w:pStyle w:val="Heading1"/>
      </w:pPr>
      <w:r>
        <w:t xml:space="preserve">Rozdział 4. Dyskusja</w:t>
      </w:r>
    </w:p>
    <w:p>
      <w:pPr>
        <w:pStyle w:val="FirstParagraph"/>
      </w:pPr>
      <w:r>
        <w:t xml:space="preserve">Uzyskana poprawa parametrów nawilżenia i bariery naskórkowej jest zbieżna z doniesieniami o stymulującym wpływie mikronakłuwania na procesy naprawcze naskórka. Praktyczne znaczenie ma rozbieżność między samooceną a pomiarami: wyniki wspierają postulat kosmetologii opartej na dowodach, w której efekty zabiegów dokumentuje się aparaturowo. Ograniczenia pracy: brak grupy kontrolnej (schemat przed–po w jednej grupie), krótki horyzont obserwacji (4 tygodnie po serii) oraz jednoośrodkowy charakter badania — kierunkiem dalszych badań byłby schemat z grupą kontrolną i obserwacją odległą.</w:t>
      </w:r>
    </w:p>
    <w:bookmarkEnd w:id="28"/>
    <w:bookmarkStart w:id="29" w:name="wnioski"/>
    <w:p>
      <w:pPr>
        <w:pStyle w:val="Heading1"/>
      </w:pPr>
      <w:r>
        <w:t xml:space="preserve">Wnioski</w:t>
      </w:r>
    </w:p>
    <w:p>
      <w:pPr>
        <w:pStyle w:val="Compact"/>
        <w:numPr>
          <w:ilvl w:val="0"/>
          <w:numId w:val="1001"/>
        </w:numPr>
      </w:pPr>
      <w:r>
        <w:t xml:space="preserve">Seria trzech zabiegów mikronakłuwania istotnie poprawiła nawilżenie warstwy rogowej (+18,4%) i obniżyła TEWL (−9,2%) w badanej grupie.</w:t>
      </w:r>
    </w:p>
    <w:p>
      <w:pPr>
        <w:pStyle w:val="Compact"/>
        <w:numPr>
          <w:ilvl w:val="0"/>
          <w:numId w:val="1001"/>
        </w:numPr>
      </w:pPr>
      <w:r>
        <w:t xml:space="preserve">Samoocena uczestniczek koreluje z pomiarami jedynie umiarkowanie, co potwierdza konieczność aparaturowej oceny efektów zabiegów.</w:t>
      </w:r>
    </w:p>
    <w:p>
      <w:pPr>
        <w:pStyle w:val="Compact"/>
        <w:numPr>
          <w:ilvl w:val="0"/>
          <w:numId w:val="1001"/>
        </w:numPr>
      </w:pPr>
      <w:r>
        <w:t xml:space="preserve">Ze względu na brak grupy kontrolnej uzyskane wyniki należy interpretować jako zmianę obserwowaną po serii zabiegów, nie jako dowód wyłącznego wpływu samej procedury.</w:t>
      </w:r>
    </w:p>
    <w:bookmarkEnd w:id="29"/>
    <w:bookmarkStart w:id="33" w:name="piśmiennictwo"/>
    <w:p>
      <w:pPr>
        <w:pStyle w:val="Heading1"/>
      </w:pPr>
      <w:r>
        <w:t xml:space="preserve">Piśmiennictwo</w:t>
      </w:r>
    </w:p>
    <w:p>
      <w:pPr>
        <w:pStyle w:val="Compact"/>
        <w:numPr>
          <w:ilvl w:val="0"/>
          <w:numId w:val="1002"/>
        </w:numPr>
      </w:pPr>
      <w:r>
        <w:t xml:space="preserve">Adamski Z., Kaszuba A. (red.),</w:t>
      </w:r>
      <w:r>
        <w:t xml:space="preserve"> </w:t>
      </w:r>
      <w:r>
        <w:rPr>
          <w:i/>
          <w:iCs/>
        </w:rPr>
        <w:t xml:space="preserve">Dermatologia dla kosmetologów</w:t>
      </w:r>
      <w:r>
        <w:t xml:space="preserve">, Wrocław (aktualne wydanie).</w:t>
      </w:r>
    </w:p>
    <w:p>
      <w:pPr>
        <w:pStyle w:val="Compact"/>
        <w:numPr>
          <w:ilvl w:val="0"/>
          <w:numId w:val="1002"/>
        </w:numPr>
      </w:pPr>
      <w:r>
        <w:t xml:space="preserve">Noszczyk M. (red.),</w:t>
      </w:r>
      <w:r>
        <w:t xml:space="preserve"> </w:t>
      </w:r>
      <w:r>
        <w:rPr>
          <w:i/>
          <w:iCs/>
        </w:rPr>
        <w:t xml:space="preserve">Kosmetologia pielęgnacyjna i lekarska</w:t>
      </w:r>
      <w:r>
        <w:t xml:space="preserve">, Warszawa 2010.</w:t>
      </w:r>
    </w:p>
    <w:p>
      <w:pPr>
        <w:pStyle w:val="Compact"/>
        <w:numPr>
          <w:ilvl w:val="0"/>
          <w:numId w:val="1002"/>
        </w:numPr>
      </w:pPr>
      <w:r>
        <w:t xml:space="preserve">Artykuły przeglądowe i oryginalne o mikronakłuwaniu oraz pomiarach korneometrycznych i TEWL (uzupełnij o aktualne pozycje z baz PubMed/Google Scholar, cytowane w stylu Vancouver).</w:t>
      </w:r>
    </w:p>
    <w:p>
      <w:pPr>
        <w:pStyle w:val="Anno"/>
      </w:pPr>
      <w:r>
        <w:t xml:space="preserve">[W załącznikach: kwestionariusz samooceny, wzór świadomej zgody i karta kwalifikacji do zabiegu. Wykaz skrótów (TEWL, j.u., NMF) obowiązkowy.]</w:t>
      </w:r>
    </w:p>
    <w:p>
      <w:r>
        <w:br w:type="page"/>
      </w:r>
    </w:p>
    <w:p>
      <w:pPr>
        <w:pStyle w:val="Center"/>
      </w:pPr>
      <w:r>
        <w:rPr>
          <w:b/>
          <w:bCs/>
        </w:rPr>
        <w:t xml:space="preserve">O tym wzorze</w:t>
      </w:r>
    </w:p>
    <w:p>
      <w:pPr>
        <w:pStyle w:val="BodyText"/>
      </w:pPr>
      <w:r>
        <w:t xml:space="preserve">Wzór przygotowała redakcja serwisu</w:t>
      </w:r>
      <w:r>
        <w:t xml:space="preserve"> </w:t>
      </w:r>
      <w:r>
        <w:rPr>
          <w:b/>
          <w:bCs/>
        </w:rPr>
        <w:t xml:space="preserve">praca-magisterska.pl</w:t>
      </w:r>
      <w:r>
        <w:t xml:space="preserve">. Możesz swobodnie wykorzystać jego strukturę, tabele i przypisy we własnej pracy. Pamiętaj tylko, żeby treść dostosować do wymagań swojego promotora i uczelni.</w:t>
      </w:r>
    </w:p>
    <w:p>
      <w:pPr>
        <w:pStyle w:val="Note"/>
      </w:pPr>
      <w:r>
        <w:rPr>
          <w:b/>
          <w:bCs/>
        </w:rPr>
        <w:t xml:space="preserve">Smart-Edu.ai — pierwsza wersja pracy w kilka godzin, nie w kilka miesięcy</w:t>
      </w:r>
    </w:p>
    <w:p>
      <w:pPr>
        <w:pStyle w:val="Note"/>
      </w:pPr>
      <w:r>
        <w:t xml:space="preserve">Podajesz temat, kierunek studiów i wytyczne promotora, a sztuczna inteligencja generuje unikalny, gotowy do edycji tekst: z poprawną strukturą rozdziałów, przypisami i bibliografią. Rejestracja jest darmowa, płacisz wyłącznie za wygenerowany tekst.</w:t>
      </w:r>
    </w:p>
    <w:p>
      <w:pPr>
        <w:pStyle w:val="Note"/>
      </w:pPr>
      <w:hyperlink r:id="rId30">
        <w:r>
          <w:rPr>
            <w:rStyle w:val="Hyperlink"/>
            <w:b/>
            <w:bCs/>
          </w:rPr>
          <w:t xml:space="preserve">www.smart-edu.ai</w:t>
        </w:r>
      </w:hyperlink>
    </w:p>
    <w:p>
      <w:pPr>
        <w:pStyle w:val="BodyText"/>
      </w:pPr>
      <w:r>
        <w:t xml:space="preserve">Wolisz napisać pracę w pełni samodzielnie? Pomoże Ci ebook</w:t>
      </w:r>
      <w:r>
        <w:t xml:space="preserve"> </w:t>
      </w:r>
      <w:r>
        <w:rPr>
          <w:b/>
          <w:bCs/>
        </w:rPr>
        <w:t xml:space="preserve">„Jak napisać pracę magisterską. Kompletny przewodnik od A do Z”</w:t>
      </w:r>
      <w:r>
        <w:t xml:space="preserve"> </w:t>
      </w:r>
      <w:r>
        <w:t xml:space="preserve">— 250 stron praktycznych wskazówek, szablonów i checklist, z rozdziałem o etycznym korzystaniu z AI:</w:t>
      </w:r>
      <w:r>
        <w:t xml:space="preserve"> </w:t>
      </w:r>
      <w:hyperlink r:id="rId31">
        <w:r>
          <w:rPr>
            <w:rStyle w:val="Hyperlink"/>
          </w:rPr>
          <w:t xml:space="preserve">www.praca-magisterska.pl/sklep/praca-magisterska-ebook/</w:t>
        </w:r>
      </w:hyperlink>
    </w:p>
    <w:p>
      <w:pPr>
        <w:pStyle w:val="Center"/>
      </w:pPr>
      <w:r>
        <w:rPr>
          <w:i/>
          <w:iCs/>
        </w:rPr>
        <w:t xml:space="preserve">Darmowe poradniki, wzory i ponad 2500 tematów prac:</w:t>
      </w:r>
      <w:r>
        <w:t xml:space="preserve"> </w:t>
      </w:r>
      <w:hyperlink r:id="rId32">
        <w:r>
          <w:rPr>
            <w:rStyle w:val="Hyperlink"/>
            <w:b/>
            <w:bCs/>
          </w:rPr>
          <w:t xml:space="preserve">www.praca-magisterska.pl</w:t>
        </w:r>
      </w:hyperlink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sz w:val="24"/>
        <w:szCs w:val="24"/>
        <w:lang w:bidi="ar-SA" w:eastAsia="pl-PL" w:val="pl-PL"/>
      </w:rPr>
    </w:rPrDefault>
    <w:pPrDefault>
      <w:pPr>
        <w:spacing w:after="120" w:line="360" w:lineRule="auto"/>
        <w:jc w:val="both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customStyle="1" w:styleId="Center" w:type="paragraph">
    <w:name w:val="Center"/>
    <w:basedOn w:val="Normal"/>
    <w:pPr>
      <w:spacing w:after="60" w:line="276" w:lineRule="auto"/>
      <w:jc w:val="center"/>
    </w:pPr>
  </w:style>
  <w:style w:customStyle="1" w:styleId="Right" w:type="paragraph">
    <w:name w:val="Right"/>
    <w:basedOn w:val="Normal"/>
    <w:pPr>
      <w:jc w:val="right"/>
    </w:pPr>
  </w:style>
  <w:style w:customStyle="1" w:styleId="Anno" w:type="paragraph">
    <w:name w:val="Anno"/>
    <w:basedOn w:val="Normal"/>
    <w:pPr>
      <w:spacing w:after="20" w:before="80" w:line="240" w:lineRule="auto"/>
      <w:ind w:firstLine="0"/>
      <w:jc w:val="left"/>
    </w:pPr>
    <w:rPr>
      <w:rFonts w:ascii="Arial" w:cs="Arial" w:hAnsi="Arial"/>
      <w:i/>
      <w:color w:val="4F46E5"/>
      <w:sz w:val="19"/>
      <w:szCs w:val="19"/>
    </w:rPr>
  </w:style>
  <w:style w:customStyle="1" w:styleId="Note" w:type="paragraph">
    <w:name w:val="Note"/>
    <w:basedOn w:val="Normal"/>
    <w:pPr>
      <w:pBdr>
        <w:top w:color="C7D2FE" w:space="6" w:sz="4" w:val="single"/>
        <w:left w:color="C7D2FE" w:space="6" w:sz="4" w:val="single"/>
        <w:bottom w:color="C7D2FE" w:space="6" w:sz="4" w:val="single"/>
        <w:right w:color="C7D2FE" w:space="6" w:sz="4" w:val="single"/>
      </w:pBdr>
      <w:shd w:color="auto" w:fill="F5F7FF" w:val="clear"/>
      <w:spacing w:after="120" w:before="120" w:line="276" w:lineRule="auto"/>
      <w:ind w:firstLine="0"/>
      <w:jc w:val="left"/>
    </w:pPr>
    <w:rPr>
      <w:rFonts w:ascii="Arial" w:cs="Arial" w:hAnsi="Arial"/>
      <w:sz w:val="19"/>
      <w:szCs w:val="19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smart-edu.ai" TargetMode="External" /><Relationship Type="http://schemas.openxmlformats.org/officeDocument/2006/relationships/hyperlink" Id="rId32" Target="https://www.praca-magisterska.pl" TargetMode="External" /><Relationship Type="http://schemas.openxmlformats.org/officeDocument/2006/relationships/hyperlink" Id="rId31" Target="https://www.praca-magisterska.pl/sklep/praca-magisterska-eboo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2026-07-17T07:10:18Z</dcterms:created>
  <dcterms:modified xsi:type="dcterms:W3CDTF">2026-07-17T07:10:18Z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