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Humanistyczny — Kierunek: Kulturoznawstwo</w:t>
      </w:r>
    </w:p>
    <w:p>
      <w:pPr>
        <w:pStyle w:val="Center"/>
      </w:pPr>
      <w:r>
        <w:rPr>
          <w:b/>
          <w:bCs/>
        </w:rPr>
        <w:t xml:space="preserve">Iga Baran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Konstruowanie pamięci o latach 80. w polskich serialach historycznych ostatniej dekady — analiza kulturoznawcza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uczelni</w:t>
      </w:r>
    </w:p>
    <w:p>
      <w:pPr>
        <w:pStyle w:val="Center"/>
      </w:pPr>
      <w:r>
        <w:t xml:space="preserve">Katowice,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kulturoznawstwa w schemacie</w:t>
      </w:r>
      <w:r>
        <w:t xml:space="preserve"> </w:t>
      </w:r>
      <w:r>
        <w:rPr>
          <w:b/>
          <w:bCs/>
        </w:rPr>
        <w:t xml:space="preserve">analizy tekstów kultury przez ramę teoretyczną</w:t>
      </w:r>
      <w:r>
        <w:t xml:space="preserve">: jawnie dobrany korpus (trzy seriale) → kategorie analityczne wyprowadzone z teorii (studia nad pamięcią) → analiza porównawcza → interpretacja kulturoznawcza. To, co odróżnia pracę naukową od eseju recenzenckiego, to właśnie rama, korpus i kategorie. Niebieskie adnotacje — usuń w swojej pracy.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są sposoby konstruowania pamięci o latach 80. XX wieku w polskich serialach historycznych ostatniej dekady. Celem pracy jest rekonstrukcja strategii reprezentacji tego okresu oraz ich interpretacja w kontekście współczesnych sporów o pamięć zbiorową. Ramę teoretyczną stanowią studia nad pamięcią (kategorie pamięci zbiorowej i kulturowej oraz nostalgii), a materiał — trzy seriale wybrane według jawnych kryteriów (produkcja polska po 2015 roku, akcja osadzona w latach 80., różne modele produkcyjne: telewizja publiczna, nadawca komercyjny, platforma streamingowa). Analizę prowadzono według czterech kategorii: konstrukcja codzienności, reprezentacja władzy i oporu, strategie nostalgiczne oraz rama narracyjna (perspektywa opowiadania). Analiza ujawnia trzy odmienne strategie pamięci — martyrologiczną, nostalgiczno-konsumpcyjną i ironiczno-rewizyjną — skorelowane z modelem produkcyjnym i zakładaną widownią. Praca wpisuje się w badania nad popkulturowymi użyciami przeszłości i pokazuje serial jako aktywnego uczestnika polityki pamięci.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pamięć zbiorowa, nostalgia, serial historyczny, kultura popularna, polityka pamięci.</w:t>
      </w:r>
    </w:p>
    <w:p>
      <w:pPr>
        <w:pStyle w:val="Anno"/>
      </w:pPr>
      <w:r>
        <w:t xml:space="preserve">[Streszczenie pracy kulturoznawczej: przedmiot, cel, RAMA TEORETYCZNA z nazwanymi kategoriami, korpus z kryteriami doboru, kategorie analityczne i główny wynik (typologia strategii). Wynikiem analizy kulturoznawczej jest zwykle typologia lub mechanizm — nie liczby.]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Pamięć i nostalgia jako kategorie kulturoznawcze</w:t>
      </w:r>
      <w:r>
        <w:t xml:space="preserve"> </w:t>
      </w:r>
    </w:p>
    <w:p>
      <w:pPr>
        <w:pStyle w:val="Note"/>
      </w:pPr>
      <w:r>
        <w:t xml:space="preserve">1.1. Pamięć zbiorowa i pamięć kulturowa — przegląd stanowisk</w:t>
      </w:r>
      <w:r>
        <w:t xml:space="preserve"> </w:t>
      </w:r>
    </w:p>
    <w:p>
      <w:pPr>
        <w:pStyle w:val="Note"/>
      </w:pPr>
      <w:r>
        <w:t xml:space="preserve">1.2. Nostalgia i jej odmiany w badaniach kultury popularnej</w:t>
      </w:r>
      <w:r>
        <w:t xml:space="preserve"> </w:t>
      </w:r>
    </w:p>
    <w:p>
      <w:pPr>
        <w:pStyle w:val="Note"/>
      </w:pPr>
      <w:r>
        <w:t xml:space="preserve">1.3. Serial telewizyjny jako medium pamięci</w:t>
      </w:r>
      <w:r>
        <w:t xml:space="preserve"> </w:t>
      </w:r>
    </w:p>
    <w:p>
      <w:pPr>
        <w:pStyle w:val="Note"/>
      </w:pPr>
      <w:r>
        <w:t xml:space="preserve">1.4. Lata 80. w polskiej pamięci zbiorowej — konteksty sporu</w:t>
      </w:r>
      <w:r>
        <w:t xml:space="preserve"> </w:t>
      </w:r>
    </w:p>
    <w:p>
      <w:pPr>
        <w:pStyle w:val="Note"/>
      </w:pPr>
      <w:r>
        <w:t xml:space="preserve">Rozdział 2. Założenia metodologiczne</w:t>
      </w:r>
      <w:r>
        <w:t xml:space="preserve"> </w:t>
      </w:r>
    </w:p>
    <w:p>
      <w:pPr>
        <w:pStyle w:val="Note"/>
      </w:pPr>
      <w:r>
        <w:t xml:space="preserve">2.1. Cel, pytania badawcze i teza</w:t>
      </w:r>
      <w:r>
        <w:t xml:space="preserve"> </w:t>
      </w:r>
    </w:p>
    <w:p>
      <w:pPr>
        <w:pStyle w:val="Note"/>
      </w:pPr>
      <w:r>
        <w:t xml:space="preserve">2.2. Dobór korpusu</w:t>
      </w:r>
      <w:r>
        <w:t xml:space="preserve"> </w:t>
      </w:r>
    </w:p>
    <w:p>
      <w:pPr>
        <w:pStyle w:val="Note"/>
      </w:pPr>
      <w:r>
        <w:t xml:space="preserve">2.3. Kategorie analityczne</w:t>
      </w:r>
      <w:r>
        <w:t xml:space="preserve"> </w:t>
      </w:r>
    </w:p>
    <w:p>
      <w:pPr>
        <w:pStyle w:val="Note"/>
      </w:pPr>
      <w:r>
        <w:t xml:space="preserve">Rozdział 3. Analiza seriali</w:t>
      </w:r>
      <w:r>
        <w:t xml:space="preserve"> </w:t>
      </w:r>
    </w:p>
    <w:p>
      <w:pPr>
        <w:pStyle w:val="Note"/>
      </w:pPr>
      <w:r>
        <w:t xml:space="preserve">3.1. Serial A — pamięć martyrologiczna</w:t>
      </w:r>
      <w:r>
        <w:t xml:space="preserve"> </w:t>
      </w:r>
    </w:p>
    <w:p>
      <w:pPr>
        <w:pStyle w:val="Note"/>
      </w:pPr>
      <w:r>
        <w:t xml:space="preserve">3.2. Serial B — nostalgia konsumpcyjna</w:t>
      </w:r>
      <w:r>
        <w:t xml:space="preserve"> </w:t>
      </w:r>
    </w:p>
    <w:p>
      <w:pPr>
        <w:pStyle w:val="Note"/>
      </w:pPr>
      <w:r>
        <w:t xml:space="preserve">3.3. Serial C — ironia i rewizja</w:t>
      </w:r>
      <w:r>
        <w:t xml:space="preserve"> </w:t>
      </w:r>
    </w:p>
    <w:p>
      <w:pPr>
        <w:pStyle w:val="Note"/>
      </w:pPr>
      <w:r>
        <w:t xml:space="preserve">Rozdział 4. Porównanie strategii i interpretacja</w:t>
      </w:r>
      <w:r>
        <w:t xml:space="preserve"> </w:t>
      </w:r>
    </w:p>
    <w:p>
      <w:pPr>
        <w:pStyle w:val="Note"/>
      </w:pPr>
      <w:r>
        <w:t xml:space="preserve">4.1. Trzy strategie pamięci — zestawienie</w:t>
      </w:r>
      <w:r>
        <w:t xml:space="preserve"> </w:t>
      </w:r>
    </w:p>
    <w:p>
      <w:pPr>
        <w:pStyle w:val="Note"/>
      </w:pPr>
      <w:r>
        <w:t xml:space="preserve">4.2. Strategie a modele produkcyjne i widownie</w:t>
      </w:r>
      <w:r>
        <w:t xml:space="preserve"> </w:t>
      </w:r>
    </w:p>
    <w:p>
      <w:pPr>
        <w:pStyle w:val="Note"/>
      </w:pPr>
      <w:r>
        <w:t xml:space="preserve">4.3. Seriale w polu polityki pamięci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Filmografia · Spis tabel</w:t>
      </w:r>
      <w:r>
        <w:t xml:space="preserve"> </w:t>
      </w:r>
    </w:p>
    <w:bookmarkEnd w:id="21"/>
    <w:bookmarkStart w:id="24" w:name="rozdział-2.-założenia-metodologiczne"/>
    <w:p>
      <w:pPr>
        <w:pStyle w:val="Heading1"/>
      </w:pPr>
      <w:r>
        <w:t xml:space="preserve">Rozdział 2. Założenia metodologiczne</w:t>
      </w:r>
    </w:p>
    <w:bookmarkStart w:id="22" w:name="dobór-korpusu"/>
    <w:p>
      <w:pPr>
        <w:pStyle w:val="Heading2"/>
      </w:pPr>
      <w:r>
        <w:t xml:space="preserve">2.2. Dobór korpusu</w:t>
      </w:r>
    </w:p>
    <w:p>
      <w:pPr>
        <w:pStyle w:val="FirstParagraph"/>
      </w:pPr>
      <w:r>
        <w:t xml:space="preserve">Korpus dobrano według czterech jawnych kryteriów: (1) polska produkcja serialowa z premierą po 2015 roku; (2) akcja osadzona w latach 80. XX wieku w wymiarze przekraczającym pojedynczy wątek; (3) forma fabularna (wykluczono dokument i paradokument); (4) zróżnicowanie modeli produkcyjnych — do analizy wybrano po jednym tytule telewizji publicznej, nadawcy komercyjnego i platformy streamingowej, aby umożliwić porównanie strategii w różnych logikach nadawczych. Analizie poddano pełne pierwsze sezony (łącznie 34 odcinki), w wydaniach dostępnych oficjalnie; szczegóły tytułów zestawiono w filmografii.</w:t>
      </w:r>
    </w:p>
    <w:p>
      <w:pPr>
        <w:pStyle w:val="Anno"/>
      </w:pPr>
      <w:r>
        <w:t xml:space="preserve">[Dobór korpusu w pracy kulturoznawczej działa jak dobór próby: jawne kryteria + uzasadnienie zróżnicowania + dokładne wskazanie materiału (sezony, odcinki, wydania). To pierwsza zapora przed zarzutem „przykłady dobrane pod tezę”.]</w:t>
      </w:r>
    </w:p>
    <w:bookmarkEnd w:id="22"/>
    <w:bookmarkStart w:id="23" w:name="kategorie-analityczne"/>
    <w:p>
      <w:pPr>
        <w:pStyle w:val="Heading2"/>
      </w:pPr>
      <w:r>
        <w:t xml:space="preserve">2.3. Kategorie analityczne</w:t>
      </w:r>
    </w:p>
    <w:p>
      <w:pPr>
        <w:pStyle w:val="FirstParagraph"/>
      </w:pPr>
      <w:r>
        <w:t xml:space="preserve">Z ramy teoretycznej wyprowadzono cztery kategorie analityczne, stosowane jednolicie do każdego serialu: (1) konstrukcja codzienności — scenografia, rekwizyt, praktyki życia codziennego i ich waloryzacja; (2) reprezentacja władzy i oporu — sposoby pokazywania aparatu państwa i postaw wobec niego; (3) strategie nostalgiczne — rozróżnienie nostalgii odtwarzającej (idealizacja) i refleksyjnej (dystans), z uwzględnieniem roli muzyki i kultury materialnej; (4) rama narracyjna — czyja perspektywa organizuje opowieść i jak sytuuje widza wobec przeszłości. Dla każdej kategorii sporządzano noty analityczne z odniesieniami do konkretnych scen (numer odcinka i kod czasowy).</w:t>
      </w:r>
    </w:p>
    <w:p>
      <w:pPr>
        <w:pStyle w:val="Anno"/>
      </w:pPr>
      <w:r>
        <w:t xml:space="preserve">[Kategorie analityczne to kulturoznawczy odpowiednik klucza kategoryzacyjnego: wyprowadzone Z TEORII (rozdział 1 pracuje!), stosowane jednolicie, z notami odsyłającymi do scen (odcinek + kod czasowy — standard cytowania materiału audiowizualnego).]</w:t>
      </w:r>
    </w:p>
    <w:bookmarkEnd w:id="23"/>
    <w:bookmarkEnd w:id="24"/>
    <w:bookmarkStart w:id="26" w:name="rozdział-3.-analiza-seriali"/>
    <w:p>
      <w:pPr>
        <w:pStyle w:val="Heading1"/>
      </w:pPr>
      <w:r>
        <w:t xml:space="preserve">Rozdział 3. Analiza seriali</w:t>
      </w:r>
    </w:p>
    <w:bookmarkStart w:id="25" w:name="serial-b-nostalgia-konsumpcyjna"/>
    <w:p>
      <w:pPr>
        <w:pStyle w:val="Heading2"/>
      </w:pPr>
      <w:r>
        <w:t xml:space="preserve">3.2. Serial B — nostalgia konsumpcyjna</w:t>
      </w:r>
    </w:p>
    <w:p>
      <w:pPr>
        <w:pStyle w:val="FirstParagraph"/>
      </w:pPr>
      <w:r>
        <w:t xml:space="preserve">W serialu B lata 80. funkcjonują przede wszystkim jako magazyn atrakcyjnych powierzchni: kadry organizowane są wokół kultowych przedmiotów epoki (odc. 3, 00:12:40 — sekwencja w Peweksie skomponowana jak witryna sklepowa), a ścieżka dźwiękowa zbudowana z przebojów dekady pełni funkcję afektywnego spoiwa scen. Represyjny wymiar epoki pojawia się jako tło komplikujące romans, nie jako doświadczenie strukturujące życie bohaterów. Jest to wzorcowa realizacja nostalgii odtwarzającej: przeszłość zostaje udomowiona i przekształcona w przyjemny do zamieszkania świat, a widz sytuowany jest w pozycji konsumenta epoki, nie jej świadka.</w:t>
      </w:r>
    </w:p>
    <w:p>
      <w:pPr>
        <w:pStyle w:val="Anno"/>
      </w:pPr>
      <w:r>
        <w:t xml:space="preserve">[Wzorzec akapitu analitycznego: obserwacja z materiału (z lokalizacją sceny) → kategoria teoretyczna (nostalgia odtwarzająca) → interpretacja skutku dla widza. Trzy ruchy w każdym akapicie — to odróżnia analizę od streszczania fabuły.]</w:t>
      </w:r>
    </w:p>
    <w:bookmarkEnd w:id="25"/>
    <w:bookmarkEnd w:id="26"/>
    <w:bookmarkStart w:id="28" w:name="Xaa26883b751cd9ead29b194e39bcd801ed76329"/>
    <w:p>
      <w:pPr>
        <w:pStyle w:val="Heading1"/>
      </w:pPr>
      <w:r>
        <w:t xml:space="preserve">Rozdział 4. Porównanie strategii i interpretacja</w:t>
      </w:r>
    </w:p>
    <w:bookmarkStart w:id="27" w:name="trzy-strategie-pamięci-zestawienie"/>
    <w:p>
      <w:pPr>
        <w:pStyle w:val="Heading2"/>
      </w:pPr>
      <w:r>
        <w:t xml:space="preserve">4.1. Trzy strategie pamięci — zestawienie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</w:t>
            </w:r>
          </w:p>
        </w:tc>
        <w:tc>
          <w:tcPr/>
          <w:p>
            <w:pPr>
              <w:pStyle w:val="Compact"/>
            </w:pPr>
            <w:r>
              <w:t xml:space="preserve">Serial A (TV publiczna)</w:t>
            </w:r>
          </w:p>
        </w:tc>
        <w:tc>
          <w:tcPr/>
          <w:p>
            <w:pPr>
              <w:pStyle w:val="Compact"/>
            </w:pPr>
            <w:r>
              <w:t xml:space="preserve">Serial B (komercyjny)</w:t>
            </w:r>
          </w:p>
        </w:tc>
        <w:tc>
          <w:tcPr/>
          <w:p>
            <w:pPr>
              <w:pStyle w:val="Compact"/>
            </w:pPr>
            <w:r>
              <w:t xml:space="preserve">Serial C (streaming)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Codzienność</w:t>
            </w:r>
          </w:p>
        </w:tc>
        <w:tc>
          <w:tcPr/>
          <w:p>
            <w:pPr>
              <w:pStyle w:val="Compact"/>
            </w:pPr>
            <w:r>
              <w:t xml:space="preserve">tło niedostatku</w:t>
            </w:r>
          </w:p>
        </w:tc>
        <w:tc>
          <w:tcPr/>
          <w:p>
            <w:pPr>
              <w:pStyle w:val="Compact"/>
            </w:pPr>
            <w:r>
              <w:t xml:space="preserve">atrakcyjna powierzchnia</w:t>
            </w:r>
          </w:p>
        </w:tc>
        <w:tc>
          <w:tcPr/>
          <w:p>
            <w:pPr>
              <w:pStyle w:val="Compact"/>
            </w:pPr>
            <w:r>
              <w:t xml:space="preserve">detal ambiwalentny</w:t>
            </w:r>
          </w:p>
        </w:tc>
      </w:tr>
      <w:tr>
        <w:tc>
          <w:tcPr/>
          <w:p>
            <w:pPr>
              <w:pStyle w:val="Compact"/>
            </w:pPr>
            <w:r>
              <w:t xml:space="preserve">Władza i opór</w:t>
            </w:r>
          </w:p>
        </w:tc>
        <w:tc>
          <w:tcPr/>
          <w:p>
            <w:pPr>
              <w:pStyle w:val="Compact"/>
            </w:pPr>
            <w:r>
              <w:t xml:space="preserve">oś dramatu, czytelne role</w:t>
            </w:r>
          </w:p>
        </w:tc>
        <w:tc>
          <w:tcPr/>
          <w:p>
            <w:pPr>
              <w:pStyle w:val="Compact"/>
            </w:pPr>
            <w:r>
              <w:t xml:space="preserve">tło romansu</w:t>
            </w:r>
          </w:p>
        </w:tc>
        <w:tc>
          <w:tcPr/>
          <w:p>
            <w:pPr>
              <w:pStyle w:val="Compact"/>
            </w:pPr>
            <w:r>
              <w:t xml:space="preserve">uwikłanie, szare strefy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Nostalgia</w:t>
            </w:r>
          </w:p>
        </w:tc>
        <w:tc>
          <w:tcPr/>
          <w:p>
            <w:pPr>
              <w:pStyle w:val="Compact"/>
            </w:pPr>
            <w:r>
              <w:t xml:space="preserve">nieobecna (patos)</w:t>
            </w:r>
          </w:p>
        </w:tc>
        <w:tc>
          <w:tcPr/>
          <w:p>
            <w:pPr>
              <w:pStyle w:val="Compact"/>
            </w:pPr>
            <w:r>
              <w:t xml:space="preserve">odtwarzająca</w:t>
            </w:r>
          </w:p>
        </w:tc>
        <w:tc>
          <w:tcPr/>
          <w:p>
            <w:pPr>
              <w:pStyle w:val="Compact"/>
            </w:pPr>
            <w:r>
              <w:t xml:space="preserve">refleksyjna, ironiczna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Rama narracyjna</w:t>
            </w:r>
          </w:p>
        </w:tc>
        <w:tc>
          <w:tcPr/>
          <w:p>
            <w:pPr>
              <w:pStyle w:val="Compact"/>
            </w:pPr>
            <w:r>
              <w:t xml:space="preserve">świadek-bohater</w:t>
            </w:r>
          </w:p>
        </w:tc>
        <w:tc>
          <w:tcPr/>
          <w:p>
            <w:pPr>
              <w:pStyle w:val="Compact"/>
            </w:pPr>
            <w:r>
              <w:t xml:space="preserve">konsument epoki</w:t>
            </w:r>
          </w:p>
        </w:tc>
        <w:tc>
          <w:tcPr/>
          <w:p>
            <w:pPr>
              <w:pStyle w:val="Compact"/>
            </w:pPr>
            <w:r>
              <w:t xml:space="preserve">rewizja z dystansu pokoleniowego</w:t>
            </w:r>
          </w:p>
        </w:tc>
      </w:tr>
    </w:tbl>
    <w:p>
      <w:pPr>
        <w:pStyle w:val="Anno"/>
      </w:pPr>
      <w:r>
        <w:t xml:space="preserve">[Tabela syntetyzująca analizy według wspólnych kategorii — dowód, że kategorie działały jednolicie. Z niej wynika typologia strategii (wynik pracy) i interpretacja w rozdziale 4.2–4.3.]</w:t>
      </w:r>
    </w:p>
    <w:bookmarkEnd w:id="27"/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Praca zrekonstruowała trzy strategie konstruowania pamięci o latach 80. — martyrologiczną, nostalgiczno-konsumpcyjną i ironiczno-rewizyjną — i wykazała ich korelację z modelami produkcyjnymi oraz zakładanymi widowniami. Serial okazuje się nie tyle nośnikiem gotowej pamięci, ile aktywnym uczestnikiem jej negocjowania. Ograniczenia pracy wyznacza korpus trzech tytułów i analiza samego tekstu (bez badań odbioru); naturalnym rozwinięciem byłoby badanie recepcji zidentyfikowanych strategii wśród widzów różnych pokoleń.</w:t>
      </w:r>
    </w:p>
    <w:bookmarkEnd w:id="29"/>
    <w:bookmarkStart w:id="33" w:name="bibliografia-filmografia"/>
    <w:p>
      <w:pPr>
        <w:pStyle w:val="Heading1"/>
      </w:pPr>
      <w:r>
        <w:t xml:space="preserve">Bibliografia · Filmografia</w:t>
      </w:r>
    </w:p>
    <w:p>
      <w:pPr>
        <w:pStyle w:val="FirstParagraph"/>
      </w:pPr>
      <w:r>
        <w:rPr>
          <w:b/>
          <w:bCs/>
        </w:rPr>
        <w:t xml:space="preserve">Bibliografia (wybór)</w:t>
      </w:r>
    </w:p>
    <w:p>
      <w:pPr>
        <w:pStyle w:val="Compact"/>
        <w:numPr>
          <w:ilvl w:val="0"/>
          <w:numId w:val="1001"/>
        </w:numPr>
      </w:pPr>
      <w:r>
        <w:t xml:space="preserve">Halbwachs M.,</w:t>
      </w:r>
      <w:r>
        <w:t xml:space="preserve"> </w:t>
      </w:r>
      <w:r>
        <w:rPr>
          <w:i/>
          <w:iCs/>
        </w:rPr>
        <w:t xml:space="preserve">Społeczne ramy pamięci</w:t>
      </w:r>
      <w:r>
        <w:t xml:space="preserve">, Warszawa 2008.</w:t>
      </w:r>
    </w:p>
    <w:p>
      <w:pPr>
        <w:pStyle w:val="Compact"/>
        <w:numPr>
          <w:ilvl w:val="0"/>
          <w:numId w:val="1001"/>
        </w:numPr>
      </w:pPr>
      <w:r>
        <w:t xml:space="preserve">Assmann A.,</w:t>
      </w:r>
      <w:r>
        <w:t xml:space="preserve"> </w:t>
      </w:r>
      <w:r>
        <w:rPr>
          <w:i/>
          <w:iCs/>
        </w:rPr>
        <w:t xml:space="preserve">Między historią a pamięcią. Antologia</w:t>
      </w:r>
      <w:r>
        <w:t xml:space="preserve">, Warszawa 2013.</w:t>
      </w:r>
    </w:p>
    <w:p>
      <w:pPr>
        <w:pStyle w:val="Compact"/>
        <w:numPr>
          <w:ilvl w:val="0"/>
          <w:numId w:val="1001"/>
        </w:numPr>
      </w:pPr>
      <w:r>
        <w:t xml:space="preserve">Boym S.,</w:t>
      </w:r>
      <w:r>
        <w:t xml:space="preserve"> </w:t>
      </w:r>
      <w:r>
        <w:rPr>
          <w:i/>
          <w:iCs/>
        </w:rPr>
        <w:t xml:space="preserve">The Future of Nostalgia</w:t>
      </w:r>
      <w:r>
        <w:t xml:space="preserve">, New York 2001.</w:t>
      </w:r>
    </w:p>
    <w:p>
      <w:pPr>
        <w:pStyle w:val="Compact"/>
        <w:numPr>
          <w:ilvl w:val="0"/>
          <w:numId w:val="1001"/>
        </w:numPr>
      </w:pPr>
      <w:r>
        <w:t xml:space="preserve">Burszta W.J.,</w:t>
      </w:r>
      <w:r>
        <w:t xml:space="preserve"> </w:t>
      </w:r>
      <w:r>
        <w:rPr>
          <w:i/>
          <w:iCs/>
        </w:rPr>
        <w:t xml:space="preserve">Kotwice pewności. Wojny kulturowe z popnacjonalizmem w tle</w:t>
      </w:r>
      <w:r>
        <w:t xml:space="preserve">, Warszawa 2013.</w:t>
      </w:r>
    </w:p>
    <w:p>
      <w:pPr>
        <w:pStyle w:val="FirstParagraph"/>
      </w:pPr>
      <w:r>
        <w:rPr>
          <w:b/>
          <w:bCs/>
        </w:rPr>
        <w:t xml:space="preserve">Filmografia</w:t>
      </w:r>
    </w:p>
    <w:p>
      <w:pPr>
        <w:pStyle w:val="Compact"/>
        <w:numPr>
          <w:ilvl w:val="0"/>
          <w:numId w:val="1002"/>
        </w:numPr>
      </w:pPr>
      <w:r>
        <w:t xml:space="preserve">Serial A, reż. ____, prod. ____, sezon 1 (rok) — analizowane odcinki 1–12.</w:t>
      </w:r>
    </w:p>
    <w:p>
      <w:pPr>
        <w:pStyle w:val="Compact"/>
        <w:numPr>
          <w:ilvl w:val="0"/>
          <w:numId w:val="1002"/>
        </w:numPr>
      </w:pPr>
      <w:r>
        <w:t xml:space="preserve">Serial B, reż. ____, prod. ____, sezon 1 (rok) — odcinki 1–10.</w:t>
      </w:r>
    </w:p>
    <w:p>
      <w:pPr>
        <w:pStyle w:val="Compact"/>
        <w:numPr>
          <w:ilvl w:val="0"/>
          <w:numId w:val="1002"/>
        </w:numPr>
      </w:pPr>
      <w:r>
        <w:t xml:space="preserve">Serial C, reż. ____, prod. ____, sezon 1 (rok) — odcinki 1–12.</w:t>
      </w:r>
    </w:p>
    <w:p>
      <w:pPr>
        <w:pStyle w:val="Anno"/>
      </w:pPr>
      <w:r>
        <w:t xml:space="preserve">[Praca kulturoznawcza ma obok bibliografii FILMOGRAFIĘ (lub dyskografię, ludografię) — z danymi produkcyjnymi i wskazaniem analizowanych odcinków. Kanon ramy (Halbwachs, Assmann, Boym) uzupełnij o literaturę o polskiej pamięci lat 80. i o badania seriali.]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2026-07-17T07:10:28Z</dcterms:created>
  <dcterms:modified xsi:type="dcterms:W3CDTF">2026-07-17T07:10:28Z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