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o Środowisku — Kierunek: Ochrona środowiska</w:t>
      </w:r>
    </w:p>
    <w:p>
      <w:pPr>
        <w:pStyle w:val="Center"/>
      </w:pPr>
      <w:r>
        <w:rPr>
          <w:b/>
          <w:bCs/>
        </w:rPr>
        <w:t xml:space="preserve">Bartosz Pawlak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Ocena stanu fizykochemicznego wód rzeki X na odcinku miejskim — badania własne w cyklu rocznym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inż. ________________</w:t>
      </w:r>
    </w:p>
    <w:p>
      <w:pPr>
        <w:pStyle w:val="Center"/>
      </w:pPr>
      <w:r>
        <w:t xml:space="preserve">Olsztyn,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ochrony środowiska w schemacie</w:t>
      </w:r>
      <w:r>
        <w:t xml:space="preserve"> </w:t>
      </w:r>
      <w:r>
        <w:rPr>
          <w:b/>
          <w:bCs/>
        </w:rPr>
        <w:t xml:space="preserve">badań terenowo-laboratoryjnych</w:t>
      </w:r>
      <w:r>
        <w:t xml:space="preserve">: sieć punktów poboru → pobór prób według norm → oznaczenia fizykochemiczne → odniesienie do wartości granicznych klas jakości → interpretacja przestrzenna i sezonowa. Niebieskie adnotacje — usuń w swojej pracy. Wyniki liczbowe są przykładowe.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Celem pracy jest ocena stanu fizykochemicznego wód rzeki X na odcinku miejskim oraz identyfikacja przestrzennych i sezonowych zróżnicowań jakości wody wskazujących na źródła presji. Badania prowadzono w cyklu rocznym (od maja 2025 do kwietnia 2026 roku) w czterech punktach pomiarowo-kontrolnych rozmieszczonych wzdłuż biegu rzeki: powyżej miasta (P1), w centrum (P2), poniżej oczyszczalni ścieków (P3) i na granicy zlewni (P4). Próby pobierano raz w miesiącu zgodnie z zasadami normatywnymi; w terenie mierzono temperaturę, pH, przewodność elektrolityczną i tlen rozpuszczony, a w laboratorium oznaczano BZT5, azot azotanowy i fosfor fosforanowy. Wyniki odniesiono do wartości granicznych klas jakości według aktualnego rozporządzenia klasyfikacyjnego. Najsilniejsze pogorszenie parametrów obserwowano w punkcie P3 (podwyższone stężenia fosforanów i BZT5, zwłaszcza w miesiącach niżówkowych), a gradient wzdłuż biegu rzeki wskazuje na dominującą presję komunalną. Pracę zamykają wnioski dotyczące monitoringu lokalnego i rekomendacje dla gminy.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jakość wód powierzchniowych, badania fizykochemiczne, monitoring, presja komunalna, klasy jakości wód.</w:t>
      </w:r>
    </w:p>
    <w:p>
      <w:pPr>
        <w:pStyle w:val="Anno"/>
      </w:pPr>
      <w:r>
        <w:t xml:space="preserve">[Streszczenie pracy pomiarowej: cel, układ badań (ile punktów, jaka częstotliwość, jaki okres), zakres oznaczeń, układ odniesienia (klasy jakości) i główny wynik z lokalizacją. Cykl roczny i sieć punktów to sygnatura porządnego warsztatu środowiskowego.]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  <w:numPr>
          <w:ilvl w:val="0"/>
          <w:numId w:val="1001"/>
        </w:numPr>
      </w:pPr>
      <w:r>
        <w:t xml:space="preserve">Wstęp — cel i zakres pracy</w:t>
      </w:r>
      <w:r>
        <w:t xml:space="preserve"> </w:t>
      </w:r>
    </w:p>
    <w:p>
      <w:pPr>
        <w:pStyle w:val="Note"/>
        <w:numPr>
          <w:ilvl w:val="0"/>
          <w:numId w:val="1001"/>
        </w:numPr>
      </w:pPr>
      <w:r>
        <w:t xml:space="preserve">Przegląd literatury</w:t>
      </w:r>
      <w:r>
        <w:t xml:space="preserve"> </w:t>
      </w:r>
    </w:p>
    <w:p>
      <w:pPr>
        <w:pStyle w:val="Note"/>
      </w:pPr>
      <w:r>
        <w:t xml:space="preserve">2.1. Czynniki kształtujące jakość wód powierzchniowych</w:t>
      </w:r>
      <w:r>
        <w:t xml:space="preserve"> </w:t>
      </w:r>
    </w:p>
    <w:p>
      <w:pPr>
        <w:pStyle w:val="Note"/>
      </w:pPr>
      <w:r>
        <w:t xml:space="preserve">2.2. Wskaźniki fizykochemiczne i ich interpretacja</w:t>
      </w:r>
      <w:r>
        <w:t xml:space="preserve"> </w:t>
      </w:r>
    </w:p>
    <w:p>
      <w:pPr>
        <w:pStyle w:val="Note"/>
      </w:pPr>
      <w:r>
        <w:t xml:space="preserve">2.3. System oceny stanu wód w Polsce</w:t>
      </w:r>
      <w:r>
        <w:t xml:space="preserve"> </w:t>
      </w:r>
    </w:p>
    <w:p>
      <w:pPr>
        <w:pStyle w:val="Note"/>
      </w:pPr>
      <w:r>
        <w:t xml:space="preserve">2.4. Charakterystyka zlewni rzeki X</w:t>
      </w:r>
      <w:r>
        <w:t xml:space="preserve"> </w:t>
      </w:r>
    </w:p>
    <w:p>
      <w:pPr>
        <w:pStyle w:val="Compact"/>
        <w:numPr>
          <w:ilvl w:val="0"/>
          <w:numId w:val="1002"/>
        </w:numPr>
      </w:pPr>
      <w:r>
        <w:t xml:space="preserve">Materiał i metody</w:t>
      </w:r>
      <w:r>
        <w:t xml:space="preserve"> </w:t>
      </w:r>
    </w:p>
    <w:p>
      <w:pPr>
        <w:pStyle w:val="Note"/>
      </w:pPr>
      <w:r>
        <w:t xml:space="preserve">3.1. Lokalizacja punktów pomiarowo-kontrolnych</w:t>
      </w:r>
      <w:r>
        <w:t xml:space="preserve"> </w:t>
      </w:r>
    </w:p>
    <w:p>
      <w:pPr>
        <w:pStyle w:val="Note"/>
      </w:pPr>
      <w:r>
        <w:t xml:space="preserve">3.2. Pobór prób i pomiary terenowe</w:t>
      </w:r>
      <w:r>
        <w:t xml:space="preserve"> </w:t>
      </w:r>
    </w:p>
    <w:p>
      <w:pPr>
        <w:pStyle w:val="Note"/>
      </w:pPr>
      <w:r>
        <w:t xml:space="preserve">3.3. Oznaczenia laboratoryjne</w:t>
      </w:r>
      <w:r>
        <w:t xml:space="preserve"> </w:t>
      </w:r>
    </w:p>
    <w:p>
      <w:pPr>
        <w:pStyle w:val="Note"/>
      </w:pPr>
      <w:r>
        <w:t xml:space="preserve">3.4. Opracowanie wyników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t xml:space="preserve">Wyniki i dyskusja</w:t>
      </w:r>
      <w:r>
        <w:t xml:space="preserve"> </w:t>
      </w:r>
    </w:p>
    <w:p>
      <w:pPr>
        <w:pStyle w:val="Note"/>
      </w:pPr>
      <w:r>
        <w:t xml:space="preserve">4.1. Parametry terenowe w cyklu rocznym</w:t>
      </w:r>
      <w:r>
        <w:t xml:space="preserve"> </w:t>
      </w:r>
    </w:p>
    <w:p>
      <w:pPr>
        <w:pStyle w:val="Note"/>
      </w:pPr>
      <w:r>
        <w:t xml:space="preserve">4.2. Wskaźniki biogenne i tlenowe</w:t>
      </w:r>
      <w:r>
        <w:t xml:space="preserve"> </w:t>
      </w:r>
    </w:p>
    <w:p>
      <w:pPr>
        <w:pStyle w:val="Note"/>
      </w:pPr>
      <w:r>
        <w:t xml:space="preserve">4.3. Zróżnicowanie przestrzenne — gradient wzdłuż biegu rzeki</w:t>
      </w:r>
      <w:r>
        <w:t xml:space="preserve"> </w:t>
      </w:r>
    </w:p>
    <w:p>
      <w:pPr>
        <w:pStyle w:val="Note"/>
      </w:pPr>
      <w:r>
        <w:t xml:space="preserve">4.4. Zmienność sezonowa a warunki hydrologiczne</w:t>
      </w:r>
      <w:r>
        <w:t xml:space="preserve"> </w:t>
      </w:r>
    </w:p>
    <w:p>
      <w:pPr>
        <w:pStyle w:val="Compact"/>
        <w:numPr>
          <w:ilvl w:val="0"/>
          <w:numId w:val="1004"/>
        </w:numPr>
      </w:pPr>
      <w:r>
        <w:t xml:space="preserve">Wnioski</w:t>
      </w:r>
      <w:r>
        <w:t xml:space="preserve"> </w:t>
      </w:r>
    </w:p>
    <w:p>
      <w:pPr>
        <w:pStyle w:val="Note"/>
      </w:pPr>
      <w:r>
        <w:t xml:space="preserve">Bibliografia · Spis tabel i rysunków · Załączniki (wyniki surowe)</w:t>
      </w:r>
      <w:r>
        <w:t xml:space="preserve"> </w:t>
      </w:r>
    </w:p>
    <w:bookmarkEnd w:id="21"/>
    <w:bookmarkStart w:id="25" w:name="materiał-i-metody"/>
    <w:p>
      <w:pPr>
        <w:pStyle w:val="Heading1"/>
      </w:pPr>
      <w:r>
        <w:t xml:space="preserve">3. Materiał i metody</w:t>
      </w:r>
    </w:p>
    <w:bookmarkStart w:id="22" w:name="Xbff88e5b4c8a6023f58434d36c9ac37b6cf5a64"/>
    <w:p>
      <w:pPr>
        <w:pStyle w:val="Heading2"/>
      </w:pPr>
      <w:r>
        <w:t xml:space="preserve">3.1. Lokalizacja punktów pomiarowo-kontrolnych</w:t>
      </w:r>
    </w:p>
    <w:p>
      <w:pPr>
        <w:pStyle w:val="FirstParagraph"/>
      </w:pPr>
      <w:r>
        <w:t xml:space="preserve">Sieć badawczą zaprojektowano tak, aby uchwycić wpływ kolejnych presji na odcinku miejskim: punkt P1 (km 24,5, powyżej zabudowy) pełni funkcję odniesienia, P2 (km 18,2) ujmuje spływy z centrum miasta, P3 (km 14,8) położony jest 400 m poniżej wylotu oczyszczalni ścieków, a P4 (km 9,1) zamyka badany odcinek na granicy zlewni. Lokalizację punktów przedstawiono na mapie (rys. 3.1) wraz ze współrzędnymi i dokumentacją fotograficzną.</w:t>
      </w:r>
    </w:p>
    <w:p>
      <w:pPr>
        <w:pStyle w:val="Anno"/>
      </w:pPr>
      <w:r>
        <w:t xml:space="preserve">[Dobór punktów NIE jest przypadkowy — każdy ma funkcję w układzie „odniesienie → presja → skutek”. Uzasadnij lokalizację względem źródeł presji i dołącz mapę ze współrzędnymi. To środowiskowy odpowiednik doboru próby.]</w:t>
      </w:r>
    </w:p>
    <w:bookmarkEnd w:id="22"/>
    <w:bookmarkStart w:id="23" w:name="pobór-prób-i-pomiary-terenowe"/>
    <w:p>
      <w:pPr>
        <w:pStyle w:val="Heading2"/>
      </w:pPr>
      <w:r>
        <w:t xml:space="preserve">3.2. Pobór prób i pomiary terenowe</w:t>
      </w:r>
    </w:p>
    <w:p>
      <w:pPr>
        <w:pStyle w:val="FirstParagraph"/>
      </w:pPr>
      <w:r>
        <w:t xml:space="preserve">Próby pobierano raz w miesiącu, w połowie miesiąca, z nurtu rzeki na głębokości około 0,3 m, do pojemników polietylenowych płukanych wodą badaną, zgodnie z ogólnymi zasadami norm dotyczących poboru prób wód powierzchniowych. Bezpośrednio w terenie mierzono temperaturę wody, pH, przewodność elektrolityczną właściwą i stężenie tlenu rozpuszczonego miernikiem wieloparametrowym, kalibrowanym przed każdą serią zgodnie z instrukcją producenta. Próby transportowano w warunkach chłodniczych i analizowano w ciągu 24 godzin.</w:t>
      </w:r>
    </w:p>
    <w:p>
      <w:pPr>
        <w:pStyle w:val="Anno"/>
      </w:pPr>
      <w:r>
        <w:t xml:space="preserve">[Trzy elementy wiarygodności pomiarowej: procedura poboru z powołaniem norm, kalibracja sprzętu przed serią, reżim transportu i czasu analizy. Recenzent-przyrodnik pyta o nie w pierwszej kolejności.]</w:t>
      </w:r>
    </w:p>
    <w:bookmarkEnd w:id="23"/>
    <w:bookmarkStart w:id="24" w:name="oznaczenia-laboratoryjne"/>
    <w:p>
      <w:pPr>
        <w:pStyle w:val="Heading2"/>
      </w:pPr>
      <w:r>
        <w:t xml:space="preserve">3.3. Oznaczenia laboratoryjne</w:t>
      </w:r>
    </w:p>
    <w:p>
      <w:pPr>
        <w:pStyle w:val="FirstParagraph"/>
      </w:pPr>
      <w:r>
        <w:t xml:space="preserve">W laboratorium oznaczano: pięciodobowe biochemiczne zapotrzebowanie na tlen (BZT5) metodą rozcieńczeń, azot azotanowy metodą spektrofotometryczną oraz fosfor fosforanowy metodą molibdenianową, według procedur stosowanych w laboratorium uczelnianym opartych na odpowiednich normach oznaczeń. Dla 10% prób wykonywano oznaczenia w duplikacie; względna różnica między duplikatami nie przekraczała 8%.</w:t>
      </w:r>
    </w:p>
    <w:bookmarkEnd w:id="24"/>
    <w:bookmarkEnd w:id="25"/>
    <w:bookmarkStart w:id="28" w:name="wyniki-i-dyskusja"/>
    <w:p>
      <w:pPr>
        <w:pStyle w:val="Heading1"/>
      </w:pPr>
      <w:r>
        <w:t xml:space="preserve">4. Wyniki i dyskusja</w:t>
      </w:r>
    </w:p>
    <w:bookmarkStart w:id="26" w:name="X59371c8dcf93a2e5b050bbee656956a5da0de4a"/>
    <w:p>
      <w:pPr>
        <w:pStyle w:val="Heading2"/>
      </w:pPr>
      <w:r>
        <w:t xml:space="preserve">4.3. Zróżnicowanie przestrzenne — gradient wzdłuż biegu rzeki</w:t>
      </w:r>
    </w:p>
    <w:p>
      <w:pPr>
        <w:pStyle w:val="FirstParagraph"/>
      </w:pPr>
      <w:r>
        <w:t xml:space="preserve">Średnie roczne stężenia wskaźników biogennych rosły wzdłuż biegu rzeki, z wyraźnym skokiem między punktami P2 i P3. Stężenie fosforu fosforanowego wzrastało od 0,08 mg/l (P1) do 0,29 mg/l (P3), a BZT5 od 2,1 do 5,6 mg O2/l, co lokuje punkt P3 poniżej wartości granicznych stanu dobrego dla tych wskaźników. W punkcie P4 obserwowano częściową poprawę parametrów, wskazującą na procesy samooczyszczania.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Wskaźnik (średnia roczna)</w:t>
            </w:r>
          </w:p>
        </w:tc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t xml:space="preserve">P2</w:t>
            </w:r>
          </w:p>
        </w:tc>
        <w:tc>
          <w:tcPr/>
          <w:p>
            <w:pPr>
              <w:pStyle w:val="Compact"/>
            </w:pPr>
            <w:r>
              <w:t xml:space="preserve">P3</w:t>
            </w:r>
          </w:p>
        </w:tc>
        <w:tc>
          <w:tcPr/>
          <w:p>
            <w:pPr>
              <w:pStyle w:val="Compact"/>
            </w:pPr>
            <w:r>
              <w:t xml:space="preserve">P4</w:t>
            </w:r>
          </w:p>
        </w:tc>
      </w:tr>
      <w:tr>
        <w:tc>
          <w:tcPr/>
          <w:p>
            <w:pPr>
              <w:pStyle w:val="Compact"/>
            </w:pPr>
            <w:r>
              <w:t xml:space="preserve">Tlen rozpuszczony [mg O2/l]</w:t>
            </w:r>
          </w:p>
        </w:tc>
        <w:tc>
          <w:tcPr/>
          <w:p>
            <w:pPr>
              <w:pStyle w:val="Compact"/>
            </w:pPr>
            <w:r>
              <w:t xml:space="preserve">9,4</w:t>
            </w:r>
          </w:p>
        </w:tc>
        <w:tc>
          <w:tcPr/>
          <w:p>
            <w:pPr>
              <w:pStyle w:val="Compact"/>
            </w:pPr>
            <w:r>
              <w:t xml:space="preserve">8,8</w:t>
            </w:r>
          </w:p>
        </w:tc>
        <w:tc>
          <w:tcPr/>
          <w:p>
            <w:pPr>
              <w:pStyle w:val="Compact"/>
            </w:pPr>
            <w:r>
              <w:t xml:space="preserve">7,2</w:t>
            </w:r>
          </w:p>
        </w:tc>
        <w:tc>
          <w:tcPr/>
          <w:p>
            <w:pPr>
              <w:pStyle w:val="Compact"/>
            </w:pPr>
            <w:r>
              <w:t xml:space="preserve">8,1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BZT5 [mg O2/l]</w:t>
            </w:r>
          </w:p>
        </w:tc>
        <w:tc>
          <w:tcPr/>
          <w:p>
            <w:pPr>
              <w:pStyle w:val="Compact"/>
            </w:pPr>
            <w:r>
              <w:t xml:space="preserve">2,1</w:t>
            </w:r>
          </w:p>
        </w:tc>
        <w:tc>
          <w:tcPr/>
          <w:p>
            <w:pPr>
              <w:pStyle w:val="Compact"/>
            </w:pPr>
            <w:r>
              <w:t xml:space="preserve">3,0</w:t>
            </w:r>
          </w:p>
        </w:tc>
        <w:tc>
          <w:tcPr/>
          <w:p>
            <w:pPr>
              <w:pStyle w:val="Compact"/>
            </w:pPr>
            <w:r>
              <w:t xml:space="preserve">5,6</w:t>
            </w:r>
          </w:p>
        </w:tc>
        <w:tc>
          <w:tcPr/>
          <w:p>
            <w:pPr>
              <w:pStyle w:val="Compact"/>
            </w:pPr>
            <w:r>
              <w:t xml:space="preserve">4,2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Azot azotanowy [mg N/l]</w:t>
            </w:r>
          </w:p>
        </w:tc>
        <w:tc>
          <w:tcPr/>
          <w:p>
            <w:pPr>
              <w:pStyle w:val="Compact"/>
            </w:pPr>
            <w:r>
              <w:t xml:space="preserve">1,4</w:t>
            </w:r>
          </w:p>
        </w:tc>
        <w:tc>
          <w:tcPr/>
          <w:p>
            <w:pPr>
              <w:pStyle w:val="Compact"/>
            </w:pPr>
            <w:r>
              <w:t xml:space="preserve">1,9</w:t>
            </w:r>
          </w:p>
        </w:tc>
        <w:tc>
          <w:tcPr/>
          <w:p>
            <w:pPr>
              <w:pStyle w:val="Compact"/>
            </w:pPr>
            <w:r>
              <w:t xml:space="preserve">2,6</w:t>
            </w:r>
          </w:p>
        </w:tc>
        <w:tc>
          <w:tcPr/>
          <w:p>
            <w:pPr>
              <w:pStyle w:val="Compact"/>
            </w:pPr>
            <w:r>
              <w:t xml:space="preserve">2,4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Fosfor fosforanowy [mg P/l]</w:t>
            </w:r>
          </w:p>
        </w:tc>
        <w:tc>
          <w:tcPr/>
          <w:p>
            <w:pPr>
              <w:pStyle w:val="Compact"/>
            </w:pPr>
            <w:r>
              <w:t xml:space="preserve">0,08</w:t>
            </w:r>
          </w:p>
        </w:tc>
        <w:tc>
          <w:tcPr/>
          <w:p>
            <w:pPr>
              <w:pStyle w:val="Compact"/>
            </w:pPr>
            <w:r>
              <w:t xml:space="preserve">0,14</w:t>
            </w:r>
          </w:p>
        </w:tc>
        <w:tc>
          <w:tcPr/>
          <w:p>
            <w:pPr>
              <w:pStyle w:val="Compact"/>
            </w:pPr>
            <w:r>
              <w:t xml:space="preserve">0,29</w:t>
            </w:r>
          </w:p>
        </w:tc>
        <w:tc>
          <w:tcPr/>
          <w:p>
            <w:pPr>
              <w:pStyle w:val="Compact"/>
            </w:pPr>
            <w:r>
              <w:t xml:space="preserve">0,21</w:t>
            </w:r>
          </w:p>
        </w:tc>
      </w:tr>
    </w:tbl>
    <w:p>
      <w:pPr>
        <w:pStyle w:val="Anno"/>
      </w:pPr>
      <w:r>
        <w:t xml:space="preserve">[Tabela gradientu przestrzennego + odniesienie każdej wartości do klas jakości. W pełnej pracy: wykresy przebiegów miesięcznych per punkt (zmienność sezonowa!) i zestawienie z przepływami — stężenia interpretuje się łącznie z warunkami hydrologicznymi.]</w:t>
      </w:r>
    </w:p>
    <w:bookmarkEnd w:id="26"/>
    <w:bookmarkStart w:id="27" w:name="Xcd8a07a15578d8aad3bd693ebf99dbf2446d9ee"/>
    <w:p>
      <w:pPr>
        <w:pStyle w:val="Heading2"/>
      </w:pPr>
      <w:r>
        <w:t xml:space="preserve">4.4. Zmienność sezonowa a warunki hydrologiczne</w:t>
      </w:r>
    </w:p>
    <w:p>
      <w:pPr>
        <w:pStyle w:val="FirstParagraph"/>
      </w:pPr>
      <w:r>
        <w:t xml:space="preserve">Najwyższe stężenia wskaźników biogennych w punkcie P3 notowano w miesiącach letnich przy niskich stanach wody, gdy udział ścieków oczyszczonych w przepływie rzeki był największy; epizody wysokich stężeń azotanów w punktach P1–P2 wiązały się natomiast ze spływami wiosennymi z terenów rolniczych górnej zlewni. Rozdzielenie tych dwóch sygnałów — stałego komunalnego i epizodycznego rolniczego — było możliwe dzięki miesięcznej częstotliwości poboru w pełnym cyklu rocznym.</w:t>
      </w:r>
    </w:p>
    <w:bookmarkEnd w:id="27"/>
    <w:bookmarkEnd w:id="28"/>
    <w:bookmarkStart w:id="29" w:name="wnioski"/>
    <w:p>
      <w:pPr>
        <w:pStyle w:val="Heading1"/>
      </w:pPr>
      <w:r>
        <w:t xml:space="preserve">5. Wnioski</w:t>
      </w:r>
    </w:p>
    <w:p>
      <w:pPr>
        <w:pStyle w:val="Compact"/>
        <w:numPr>
          <w:ilvl w:val="0"/>
          <w:numId w:val="1005"/>
        </w:numPr>
      </w:pPr>
      <w:r>
        <w:t xml:space="preserve">Wody badanego odcinka rzeki X wykazują wyraźny gradient pogorszenia jakości wzdłuż biegu, z największą presją zlokalizowaną między punktami P2 i P3 (zrzut z oczyszczalni).</w:t>
      </w:r>
    </w:p>
    <w:p>
      <w:pPr>
        <w:pStyle w:val="Compact"/>
        <w:numPr>
          <w:ilvl w:val="0"/>
          <w:numId w:val="1005"/>
        </w:numPr>
      </w:pPr>
      <w:r>
        <w:t xml:space="preserve">Wskaźniki fosforowe i tlenowe w punkcie P3 przekraczają wartości graniczne stanu dobrego, zwłaszcza w okresach niżówkowych — presja komunalna jest silnie modulowana warunkami hydrologicznymi.</w:t>
      </w:r>
    </w:p>
    <w:p>
      <w:pPr>
        <w:pStyle w:val="Compact"/>
        <w:numPr>
          <w:ilvl w:val="0"/>
          <w:numId w:val="1005"/>
        </w:numPr>
      </w:pPr>
      <w:r>
        <w:t xml:space="preserve">Częściowa poprawa parametrów w punkcie P4 świadczy o zachowanej zdolności rzeki do samooczyszczania.</w:t>
      </w:r>
    </w:p>
    <w:p>
      <w:pPr>
        <w:pStyle w:val="Compact"/>
        <w:numPr>
          <w:ilvl w:val="0"/>
          <w:numId w:val="1005"/>
        </w:numPr>
      </w:pPr>
      <w:r>
        <w:t xml:space="preserve">Dla gminy zasadne jest objęcie punktu P3 lokalnym monitoringiem uzupełniającym oraz weryfikacja pracy oczyszczalni w okresach niskich przepływów.</w:t>
      </w:r>
    </w:p>
    <w:bookmarkEnd w:id="29"/>
    <w:bookmarkStart w:id="33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6"/>
        </w:numPr>
      </w:pPr>
      <w:r>
        <w:t xml:space="preserve">Chełmicki W.,</w:t>
      </w:r>
      <w:r>
        <w:t xml:space="preserve"> </w:t>
      </w:r>
      <w:r>
        <w:rPr>
          <w:i/>
          <w:iCs/>
        </w:rPr>
        <w:t xml:space="preserve">Woda. Zasoby, degradacja, ochrona</w:t>
      </w:r>
      <w:r>
        <w:t xml:space="preserve">, Warszawa 2012.</w:t>
      </w:r>
    </w:p>
    <w:p>
      <w:pPr>
        <w:pStyle w:val="Compact"/>
        <w:numPr>
          <w:ilvl w:val="0"/>
          <w:numId w:val="1006"/>
        </w:numPr>
      </w:pPr>
      <w:r>
        <w:t xml:space="preserve">Dojlido J.R.,</w:t>
      </w:r>
      <w:r>
        <w:t xml:space="preserve"> </w:t>
      </w:r>
      <w:r>
        <w:rPr>
          <w:i/>
          <w:iCs/>
        </w:rPr>
        <w:t xml:space="preserve">Chemia wód powierzchniowych</w:t>
      </w:r>
      <w:r>
        <w:t xml:space="preserve">, Białystok 1995.</w:t>
      </w:r>
    </w:p>
    <w:p>
      <w:pPr>
        <w:pStyle w:val="Compact"/>
        <w:numPr>
          <w:ilvl w:val="0"/>
          <w:numId w:val="1006"/>
        </w:numPr>
      </w:pPr>
      <w:r>
        <w:t xml:space="preserve">Rozporządzenie w sprawie klasyfikacji stanu ekologicznego, potencjału ekologicznego i stanu chemicznego jednolitych części wód powierzchniowych (aktualny publikator).</w:t>
      </w:r>
    </w:p>
    <w:p>
      <w:pPr>
        <w:pStyle w:val="Compact"/>
        <w:numPr>
          <w:ilvl w:val="0"/>
          <w:numId w:val="1006"/>
        </w:numPr>
      </w:pPr>
      <w:r>
        <w:t xml:space="preserve">Raporty o stanie środowiska GIOŚ (aktualne wydania dla województwa).</w:t>
      </w:r>
    </w:p>
    <w:p>
      <w:pPr>
        <w:pStyle w:val="Anno"/>
      </w:pPr>
      <w:r>
        <w:t xml:space="preserve">[W załącznikach: pełne wyniki surowe wszystkich serii (tabela miesięcy × punktów × wskaźników), dokumentacja fotograficzna punktów, mapa zlewni. Wykaz skrótów (BZT5, JCWP, ppk) obowiązkowy.]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4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2026-07-17T07:10:44Z</dcterms:created>
  <dcterms:modified xsi:type="dcterms:W3CDTF">2026-07-17T07:10:44Z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