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Nauk o Wychowaniu — Kierunek: Pedagogika specjalna</w:t>
      </w:r>
    </w:p>
    <w:p>
      <w:pPr>
        <w:pStyle w:val="Center"/>
      </w:pPr>
      <w:r>
        <w:rPr>
          <w:b/>
          <w:bCs/>
        </w:rPr>
        <w:t xml:space="preserve">Joanna Mazur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Funkcjonowanie społeczne ucznia w spektrum autyzmu w klasie integracyjnej — studium indywidualnego przypadku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 hab. ________________, prof. uczelni</w:t>
      </w:r>
    </w:p>
    <w:p>
      <w:pPr>
        <w:pStyle w:val="Center"/>
      </w:pPr>
      <w:r>
        <w:t xml:space="preserve">Lublin,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pedagogiki specjalnej w klasycznym schemacie kierunku:</w:t>
      </w:r>
      <w:r>
        <w:t xml:space="preserve"> </w:t>
      </w:r>
      <w:r>
        <w:rPr>
          <w:b/>
          <w:bCs/>
        </w:rPr>
        <w:t xml:space="preserve">studium indywidualnego przypadku</w:t>
      </w:r>
      <w:r>
        <w:t xml:space="preserve"> </w:t>
      </w:r>
      <w:r>
        <w:t xml:space="preserve">dziecka ze specjalnymi potrzebami edukacyjnymi, prowadzone od diagnozy (obserwacja, wywiady, analiza dokumentów: orzeczenie, WOPFU, IPET), przez analizę funkcjonowania, po wskazania do dalszej pracy. Niebieskie adnotacje opisują funkcję każdej części — usuń je w swojej pracy. Opis przypadku jest fikcyjny; w swojej pracy bezwzględnie zanonimizuj dane dziecka i uzyskaj zgody.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Przedmiotem pracy jest funkcjonowanie społeczne dziewięcioletniego ucznia w spektrum autyzmu uczęszczającego do klasy integracyjnej szkoły podstawowej. Celem pracy jest wielostronna diagnoza funkcjonowania społecznego chłopca, identyfikacja czynników wspierających i utrudniających jego uczestnictwo w życiu klasy oraz sformułowanie wskazań do dalszej pracy wychowawczej i terapeutycznej. Zastosowano metodę indywidualnego przypadku z technikami: obserwacji uczestniczącej (12 sesji w ciągu trzech miesięcy), wywiadów (z matką, wychowawczynią, nauczycielem wspomagającym i pedagogiem specjalnym) oraz analizy dokumentów (orzeczenie o potrzebie kształcenia specjalnego, WOPFU, IPET, dzienniki obserwacji szkolnych, wytwory ucznia). Analiza wykazała wyraźną rozbieżność między kompetencjami społecznymi chłopca w kontaktach indywidualnych a funkcjonowaniem w sytuacjach grupowych o wysokiej stymulacji sensorycznej; czynnikiem wspierającym okazały się ustrukturyzowane aktywności oparte na zainteresowaniach ucznia. Pracę zamykają wskazania dotyczące organizacji przestrzeni klasy, strategii włączania ucznia w aktywności grupowe oraz współpracy nauczycieli z rodziną.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spektrum autyzmu, studium indywidualnego przypadku, funkcjonowanie społeczne, edukacja włączająca, specjalne potrzeby edukacyjne.</w:t>
      </w:r>
    </w:p>
    <w:p>
      <w:pPr>
        <w:pStyle w:val="Anno"/>
      </w:pPr>
      <w:r>
        <w:t xml:space="preserve">[Streszczenie studium przypadku: kto jest badany (wiek, kontekst — bez danych identyfikujących), cel, metoda z technikami i wymiarem materiału (ile sesji, ile wywiadów), główne ustalenie i typ wskazań. Praca z pedagogiki specjalnej ZAWSZE kończy się wskazaniami do praktyki.]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Spektrum autyzmu a funkcjonowanie społeczne dziecka</w:t>
      </w:r>
      <w:r>
        <w:t xml:space="preserve"> </w:t>
      </w:r>
    </w:p>
    <w:p>
      <w:pPr>
        <w:pStyle w:val="Note"/>
      </w:pPr>
      <w:r>
        <w:t xml:space="preserve">1.1. Spektrum autyzmu — pojęcie, kryteria, charakterystyka</w:t>
      </w:r>
      <w:r>
        <w:t xml:space="preserve"> </w:t>
      </w:r>
    </w:p>
    <w:p>
      <w:pPr>
        <w:pStyle w:val="Note"/>
      </w:pPr>
      <w:r>
        <w:t xml:space="preserve">1.2. Rozwój kompetencji społecznych dziecka w spektrum</w:t>
      </w:r>
      <w:r>
        <w:t xml:space="preserve"> </w:t>
      </w:r>
    </w:p>
    <w:p>
      <w:pPr>
        <w:pStyle w:val="Note"/>
      </w:pPr>
      <w:r>
        <w:t xml:space="preserve">1.3. Edukacja włączająca i klasa integracyjna — rozwiązania systemowe</w:t>
      </w:r>
      <w:r>
        <w:t xml:space="preserve"> </w:t>
      </w:r>
    </w:p>
    <w:p>
      <w:pPr>
        <w:pStyle w:val="Note"/>
      </w:pPr>
      <w:r>
        <w:t xml:space="preserve">1.4. Wsparcie ucznia ze specjalnymi potrzebami: orzeczenie, WOPFU, IPET</w:t>
      </w:r>
      <w:r>
        <w:t xml:space="preserve"> </w:t>
      </w:r>
    </w:p>
    <w:p>
      <w:pPr>
        <w:pStyle w:val="Note"/>
      </w:pPr>
      <w:r>
        <w:t xml:space="preserve">Rozdział 2. Metodologia badań własnych</w:t>
      </w:r>
      <w:r>
        <w:t xml:space="preserve"> </w:t>
      </w:r>
    </w:p>
    <w:p>
      <w:pPr>
        <w:pStyle w:val="Note"/>
      </w:pPr>
      <w:r>
        <w:t xml:space="preserve">2.1. Przedmiot i cel badań, problemy badawcze</w:t>
      </w:r>
      <w:r>
        <w:t xml:space="preserve"> </w:t>
      </w:r>
    </w:p>
    <w:p>
      <w:pPr>
        <w:pStyle w:val="Note"/>
      </w:pPr>
      <w:r>
        <w:t xml:space="preserve">2.2. Metoda indywidualnego przypadku i techniki badawcze</w:t>
      </w:r>
      <w:r>
        <w:t xml:space="preserve"> </w:t>
      </w:r>
    </w:p>
    <w:p>
      <w:pPr>
        <w:pStyle w:val="Note"/>
      </w:pPr>
      <w:r>
        <w:t xml:space="preserve">2.3. Organizacja badania i kwestie etyczne</w:t>
      </w:r>
      <w:r>
        <w:t xml:space="preserve"> </w:t>
      </w:r>
    </w:p>
    <w:p>
      <w:pPr>
        <w:pStyle w:val="Note"/>
      </w:pPr>
      <w:r>
        <w:t xml:space="preserve">Rozdział 3. Studium przypadku ucznia</w:t>
      </w:r>
      <w:r>
        <w:t xml:space="preserve"> </w:t>
      </w:r>
    </w:p>
    <w:p>
      <w:pPr>
        <w:pStyle w:val="Note"/>
      </w:pPr>
      <w:r>
        <w:t xml:space="preserve">3.1. Charakterystyka dziecka i jego środowiska</w:t>
      </w:r>
      <w:r>
        <w:t xml:space="preserve"> </w:t>
      </w:r>
    </w:p>
    <w:p>
      <w:pPr>
        <w:pStyle w:val="Note"/>
      </w:pPr>
      <w:r>
        <w:t xml:space="preserve">3.2. Historia rozwoju i diagnozy</w:t>
      </w:r>
      <w:r>
        <w:t xml:space="preserve"> </w:t>
      </w:r>
    </w:p>
    <w:p>
      <w:pPr>
        <w:pStyle w:val="Note"/>
      </w:pPr>
      <w:r>
        <w:t xml:space="preserve">3.3. Funkcjonowanie społeczne w klasie — wyniki obserwacji</w:t>
      </w:r>
      <w:r>
        <w:t xml:space="preserve"> </w:t>
      </w:r>
    </w:p>
    <w:p>
      <w:pPr>
        <w:pStyle w:val="Note"/>
      </w:pPr>
      <w:r>
        <w:t xml:space="preserve">3.4. Perspektywa rodziny i nauczycieli — wyniki wywiadów</w:t>
      </w:r>
      <w:r>
        <w:t xml:space="preserve"> </w:t>
      </w:r>
    </w:p>
    <w:p>
      <w:pPr>
        <w:pStyle w:val="Note"/>
      </w:pPr>
      <w:r>
        <w:t xml:space="preserve">3.5. Analiza czynników wspierających i utrudniających</w:t>
      </w:r>
      <w:r>
        <w:t xml:space="preserve"> </w:t>
      </w:r>
    </w:p>
    <w:p>
      <w:pPr>
        <w:pStyle w:val="Note"/>
      </w:pPr>
      <w:r>
        <w:t xml:space="preserve">Rozdział 4. Wnioski i wskazania do dalszej pracy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Spis tabel · Aneksy (arkusz obserwacji, dyspozycje wywiadów)</w:t>
      </w:r>
      <w:r>
        <w:t xml:space="preserve"> </w:t>
      </w:r>
    </w:p>
    <w:bookmarkEnd w:id="21"/>
    <w:bookmarkStart w:id="25" w:name="rozdział-2.-metodologia-badań-własnych"/>
    <w:p>
      <w:pPr>
        <w:pStyle w:val="Heading1"/>
      </w:pPr>
      <w:r>
        <w:t xml:space="preserve">Rozdział 2. Metodologia badań własnych</w:t>
      </w:r>
    </w:p>
    <w:bookmarkStart w:id="22" w:name="przedmiot-i-cel-badań-problemy-badawcze"/>
    <w:p>
      <w:pPr>
        <w:pStyle w:val="Heading2"/>
      </w:pPr>
      <w:r>
        <w:t xml:space="preserve">2.1. Przedmiot i cel badań, problemy badawcze</w:t>
      </w:r>
    </w:p>
    <w:p>
      <w:pPr>
        <w:pStyle w:val="FirstParagraph"/>
      </w:pPr>
      <w:r>
        <w:t xml:space="preserve">Przedmiotem badań jest funkcjonowanie społeczne dziewięcioletniego ucznia w spektrum autyzmu w warunkach klasy integracyjnej. Celem badań jest wielostronna diagnoza tego funkcjonowania oraz sformułowanie wskazań do dalszej pracy. Problem główny sformułowano następująco: jak przebiega funkcjonowanie społeczne badanego ucznia w klasie integracyjnej i jakie czynniki je warunkują? Problemy szczegółowe: (1) jak kształtują się relacje ucznia z rówieśnikami w różnych typach sytuacji szkolnych? (2) jakie strategie radzenia sobie w sytuacjach społecznych prezentuje uczeń? (3) jakie działania nauczycieli i rodziny wspierają jego uczestnictwo w życiu klasy? (4) jakie bariery to uczestnictwo ograniczają?</w:t>
      </w:r>
    </w:p>
    <w:p>
      <w:pPr>
        <w:pStyle w:val="Anno"/>
      </w:pPr>
      <w:r>
        <w:t xml:space="preserve">[W studium przypadku problemy badawcze mają charakter eksploracyjny (jak? jakie?) — nie stawia się hipotez statystycznych. To poprawne i warto to zaznaczyć, zanim zrobi to recenzent.]</w:t>
      </w:r>
    </w:p>
    <w:bookmarkEnd w:id="22"/>
    <w:bookmarkStart w:id="23" w:name="X60f8878a68b777861fedaf29858a408562936fe"/>
    <w:p>
      <w:pPr>
        <w:pStyle w:val="Heading2"/>
      </w:pPr>
      <w:r>
        <w:t xml:space="preserve">2.2. Metoda indywidualnego przypadku i techniki badawcze</w:t>
      </w:r>
    </w:p>
    <w:p>
      <w:pPr>
        <w:pStyle w:val="FirstParagraph"/>
      </w:pPr>
      <w:r>
        <w:t xml:space="preserve">W pracy zastosowano metodę indywidualnego przypadku w rozumieniu przyjętym w metodologii badań pedagogicznych, łącząc trzy techniki. Obserwację uczestniczącą prowadzono podczas 12 sesji (po 2 godziny lekcyjne, w tym zajęcia dydaktyczne, przerwy i zajęcia świetlicowe) w okresie od marca do maja 2026 roku, z rejestracją w arkuszu obserwacji obejmującym kategorie interakcji rówieśniczych oraz notatki jakościowe. Wywiady częściowo kierowane przeprowadzono z matką chłopca, wychowawczynią klasy, nauczycielem wspomagającym i pedagogiem specjalnym. Analizie poddano dokumenty: orzeczenie o potrzebie kształcenia specjalnego, wielospecjalistyczną ocenę poziomu funkcjonowania ucznia (WOPFU), indywidualny program edukacyjno-terapeutyczny (IPET), wpisy w dzienniku dotyczące funkcjonowania ucznia oraz jego wytwory (prace plastyczne, zeszyty).</w:t>
      </w:r>
    </w:p>
    <w:p>
      <w:pPr>
        <w:pStyle w:val="Anno"/>
      </w:pPr>
      <w:r>
        <w:t xml:space="preserve">[Sygnatura warsztatu pedagogiki specjalnej: triangulacja obserwacji, wywiadów i dokumentów specyficznych dla systemu wsparcia (orzeczenie, WOPFU, IPET). Wymień dokumenty po nazwach — recenzent sprawdzi, czy znasz system.]</w:t>
      </w:r>
    </w:p>
    <w:bookmarkEnd w:id="23"/>
    <w:bookmarkStart w:id="24" w:name="organizacja-badania-i-kwestie-etyczne"/>
    <w:p>
      <w:pPr>
        <w:pStyle w:val="Heading2"/>
      </w:pPr>
      <w:r>
        <w:t xml:space="preserve">2.3. Organizacja badania i kwestie etyczne</w:t>
      </w:r>
    </w:p>
    <w:p>
      <w:pPr>
        <w:pStyle w:val="FirstParagraph"/>
      </w:pPr>
      <w:r>
        <w:t xml:space="preserve">Na przeprowadzenie badania uzyskano pisemną zgodę matki chłopca oraz dyrekcji szkoły, a formę udziału dostosowano do możliwości dziecka (obserwacja w naturalnych sytuacjach, bez dodatkowych zadań diagnostycznych). Wszystkie dane zanonimizowano: imię chłopca zastąpiono pseudonimem, a informacje umożliwiające identyfikację szkoły i rodziny uogólniono. Materiały z badania przechowywano w sposób zabezpieczony i wykorzystano wyłącznie do celów pracy.</w:t>
      </w:r>
    </w:p>
    <w:bookmarkEnd w:id="24"/>
    <w:bookmarkEnd w:id="25"/>
    <w:bookmarkStart w:id="27" w:name="rozdział-3.-studium-przypadku-ucznia"/>
    <w:p>
      <w:pPr>
        <w:pStyle w:val="Heading1"/>
      </w:pPr>
      <w:r>
        <w:t xml:space="preserve">Rozdział 3. Studium przypadku ucznia</w:t>
      </w:r>
    </w:p>
    <w:bookmarkStart w:id="26" w:name="Xac63f1780f249cd0f5aa27d0d363d8ca0343685"/>
    <w:p>
      <w:pPr>
        <w:pStyle w:val="Heading2"/>
      </w:pPr>
      <w:r>
        <w:t xml:space="preserve">3.3. Funkcjonowanie społeczne w klasie — wyniki obserwacji</w:t>
      </w:r>
    </w:p>
    <w:p>
      <w:pPr>
        <w:pStyle w:val="FirstParagraph"/>
      </w:pPr>
      <w:r>
        <w:t xml:space="preserve">Zapisy z arkuszy obserwacji ujawniają wyraźny wzorzec sytuacyjny. W kontaktach indywidualnych oraz w małych, ustrukturyzowanych grupach (praca w parach, gry planszowe z jasnymi regułami) Adam inicjuje interakcje i podtrzymuje je adekwatnie do sytuacji. W sytuacjach grupowych o wysokiej stymulacji (przerwy na korytarzu, zajęcia wychowania fizycznego, praca w głośnych zespołach) częstość interakcji spada, a dominującą strategią staje się wycofanie do preferowanej aktywności. Zaobserwowano również, że aktywności nawiązujące do zainteresowań chłopca (mapy, środki transportu) pełnią funkcję pomostową: rówieśnicy dołączają do jego zabawy, a on sam dłużej pozostaje w interakcji.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 sytuacji</w:t>
            </w:r>
          </w:p>
        </w:tc>
        <w:tc>
          <w:tcPr/>
          <w:p>
            <w:pPr>
              <w:pStyle w:val="Compact"/>
            </w:pPr>
            <w:r>
              <w:t xml:space="preserve">Średnia liczba interakcji na sesję</w:t>
            </w:r>
          </w:p>
        </w:tc>
        <w:tc>
          <w:tcPr/>
          <w:p>
            <w:pPr>
              <w:pStyle w:val="Compact"/>
            </w:pPr>
            <w:r>
              <w:t xml:space="preserve">Dominująca strategia ucznia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Kontakt indywidualny</w:t>
            </w:r>
          </w:p>
        </w:tc>
        <w:tc>
          <w:tcPr/>
          <w:p>
            <w:pPr>
              <w:pStyle w:val="Compact"/>
            </w:pPr>
            <w:r>
              <w:t xml:space="preserve">9,5</w:t>
            </w:r>
          </w:p>
        </w:tc>
        <w:tc>
          <w:tcPr/>
          <w:p>
            <w:pPr>
              <w:pStyle w:val="Compact"/>
            </w:pPr>
            <w:r>
              <w:t xml:space="preserve">inicjowanie i podtrzymywanie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Mała grupa ustrukturyzowana</w:t>
            </w:r>
          </w:p>
        </w:tc>
        <w:tc>
          <w:tcPr/>
          <w:p>
            <w:pPr>
              <w:pStyle w:val="Compact"/>
            </w:pPr>
            <w:r>
              <w:t xml:space="preserve">7,2</w:t>
            </w:r>
          </w:p>
        </w:tc>
        <w:tc>
          <w:tcPr/>
          <w:p>
            <w:pPr>
              <w:pStyle w:val="Compact"/>
            </w:pPr>
            <w:r>
              <w:t xml:space="preserve">współdziałanie według reguł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Duża grupa / wysoka stymulacja</w:t>
            </w:r>
          </w:p>
        </w:tc>
        <w:tc>
          <w:tcPr/>
          <w:p>
            <w:pPr>
              <w:pStyle w:val="Compact"/>
            </w:pPr>
            <w:r>
              <w:t xml:space="preserve">2,1</w:t>
            </w:r>
          </w:p>
        </w:tc>
        <w:tc>
          <w:tcPr/>
          <w:p>
            <w:pPr>
              <w:pStyle w:val="Compact"/>
            </w:pPr>
            <w:r>
              <w:t xml:space="preserve">wycofanie do własnej aktywności</w:t>
            </w:r>
          </w:p>
        </w:tc>
      </w:tr>
    </w:tbl>
    <w:p>
      <w:pPr>
        <w:pStyle w:val="Anno"/>
      </w:pPr>
      <w:r>
        <w:t xml:space="preserve">[Nawet w badaniu jakościowym proste zliczenia z arkusza obserwacji porządkują obraz — pod warunkiem, że nie udają statystyki (żadnych testów przy n = 1!). Tabela + opis wzorca + przykłady konkretnych scen z notatek jakościowych to właściwa proporcja.]</w:t>
      </w:r>
    </w:p>
    <w:bookmarkEnd w:id="26"/>
    <w:bookmarkEnd w:id="27"/>
    <w:bookmarkStart w:id="28" w:name="Xc43ff695bdfb02d297cad1c12ef644d43f8df3b"/>
    <w:p>
      <w:pPr>
        <w:pStyle w:val="Heading1"/>
      </w:pPr>
      <w:r>
        <w:t xml:space="preserve">Rozdział 4. Wnioski i wskazania do dalszej pracy</w:t>
      </w:r>
    </w:p>
    <w:p>
      <w:pPr>
        <w:pStyle w:val="Anno"/>
      </w:pPr>
      <w:r>
        <w:t xml:space="preserve">[Struktura rozdziału: odpowiedzi na problemy badawcze → wskazania pogrupowane według adresatów (nauczyciele, rodzina, specjaliści). Wskazania mają wynikać wprost z ustaleń — przy każdym można wskazać, z którego wyniku pochodzi.]</w:t>
      </w:r>
    </w:p>
    <w:p>
      <w:pPr>
        <w:pStyle w:val="BodyText"/>
      </w:pPr>
      <w:r>
        <w:t xml:space="preserve">Odpowiadając na problem główny: funkcjonowanie społeczne Adama jest silnie warunkowane strukturą sytuacji — kompetencje, które ujawnia w kontaktach indywidualnych, nie przenoszą się samoczynnie na sytuacje grupowe o wysokiej stymulacji. Wskazania dla nauczycieli: (1) planowe wykorzystywanie aktywności pomostowych opartych na zainteresowaniach ucznia w pracy zespołowej; (2) zapewnienie przewidywalnej struktury zajęć grupowych i dostępu do miejsca wyciszenia; (3) przygotowywanie ucznia do zmian w planie dnia z wyprzedzeniem. Wskazania dla współpracy z rodziną: kontynuacja spójnych strategii w domu i szkole oraz włączenie ustaleń do najbliższej aktualizacji IPET.</w:t>
      </w:r>
    </w:p>
    <w:bookmarkEnd w:id="28"/>
    <w:bookmarkStart w:id="32" w:name="bibliografia"/>
    <w:p>
      <w:pPr>
        <w:pStyle w:val="Heading1"/>
      </w:pPr>
      <w:r>
        <w:t xml:space="preserve">Bibliografia</w:t>
      </w:r>
    </w:p>
    <w:p>
      <w:pPr>
        <w:pStyle w:val="Compact"/>
        <w:numPr>
          <w:ilvl w:val="0"/>
          <w:numId w:val="1001"/>
        </w:numPr>
      </w:pPr>
      <w:r>
        <w:t xml:space="preserve">Pisula E.,</w:t>
      </w:r>
      <w:r>
        <w:t xml:space="preserve"> </w:t>
      </w:r>
      <w:r>
        <w:rPr>
          <w:i/>
          <w:iCs/>
        </w:rPr>
        <w:t xml:space="preserve">Autyzm. Od badań mózgu do praktyki psychologicznej</w:t>
      </w:r>
      <w:r>
        <w:t xml:space="preserve">, Sopot 2012.</w:t>
      </w:r>
    </w:p>
    <w:p>
      <w:pPr>
        <w:pStyle w:val="Compact"/>
        <w:numPr>
          <w:ilvl w:val="0"/>
          <w:numId w:val="1001"/>
        </w:numPr>
      </w:pPr>
      <w:r>
        <w:t xml:space="preserve">Chrzanowska I.,</w:t>
      </w:r>
      <w:r>
        <w:t xml:space="preserve"> </w:t>
      </w:r>
      <w:r>
        <w:rPr>
          <w:i/>
          <w:iCs/>
        </w:rPr>
        <w:t xml:space="preserve">Pedagogika specjalna. Od tradycji do współczesności</w:t>
      </w:r>
      <w:r>
        <w:t xml:space="preserve">, Kraków 2015.</w:t>
      </w:r>
    </w:p>
    <w:p>
      <w:pPr>
        <w:pStyle w:val="Compact"/>
        <w:numPr>
          <w:ilvl w:val="0"/>
          <w:numId w:val="1001"/>
        </w:numPr>
      </w:pPr>
      <w:r>
        <w:t xml:space="preserve">Pilch T., Bauman T.,</w:t>
      </w:r>
      <w:r>
        <w:t xml:space="preserve"> </w:t>
      </w:r>
      <w:r>
        <w:rPr>
          <w:i/>
          <w:iCs/>
        </w:rPr>
        <w:t xml:space="preserve">Zasady badań pedagogicznych. Strategie ilościowe i jakościowe</w:t>
      </w:r>
      <w:r>
        <w:t xml:space="preserve">, Warszawa 2001.</w:t>
      </w:r>
    </w:p>
    <w:p>
      <w:pPr>
        <w:pStyle w:val="Compact"/>
        <w:numPr>
          <w:ilvl w:val="0"/>
          <w:numId w:val="1001"/>
        </w:numPr>
      </w:pPr>
      <w:r>
        <w:t xml:space="preserve">Rozporządzenie MEN w sprawie warunków organizowania kształcenia, wychowania i opieki dla dzieci i młodzieży niepełnosprawnych (aktualny publikator).</w:t>
      </w:r>
    </w:p>
    <w:p>
      <w:pPr>
        <w:pStyle w:val="Anno"/>
      </w:pPr>
      <w:r>
        <w:t xml:space="preserve">[W bibliografii pracy z pedagogiki specjalnej obok literatury przedmiotu znajdą się akty prawne o kształceniu specjalnym. W aneksach umieść arkusz obserwacji i dyspozycje do wywiadów — recenzent będzie ich szukał.]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9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0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1">
        <w:r>
          <w:rPr>
            <w:rStyle w:val="Hyperlink"/>
            <w:b/>
            <w:bCs/>
          </w:rPr>
          <w:t xml:space="preserve">www.praca-magisterska.pl</w:t>
        </w:r>
      </w:hyperlink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smart-edu.ai" TargetMode="External" /><Relationship Type="http://schemas.openxmlformats.org/officeDocument/2006/relationships/hyperlink" Id="rId31" Target="https://www.praca-magisterska.pl" TargetMode="External" /><Relationship Type="http://schemas.openxmlformats.org/officeDocument/2006/relationships/hyperlink" Id="rId30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smart-edu.ai" TargetMode="External" /><Relationship Type="http://schemas.openxmlformats.org/officeDocument/2006/relationships/hyperlink" Id="rId31" Target="https://www.praca-magisterska.pl" TargetMode="External" /><Relationship Type="http://schemas.openxmlformats.org/officeDocument/2006/relationships/hyperlink" Id="rId30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2026-07-17T07:10:50Z</dcterms:created>
  <dcterms:modified xsi:type="dcterms:W3CDTF">2026-07-17T07:10:50Z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