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Center"/>
      </w:pPr>
      <w:r>
        <w:rPr>
          <w:b/>
          <w:bCs/>
        </w:rPr>
        <w:t xml:space="preserve">UNIWERSYTET MEDYCZNY ________________</w:t>
      </w:r>
    </w:p>
    <w:p>
      <w:pPr>
        <w:pStyle w:val="Center"/>
      </w:pPr>
      <w:r>
        <w:t xml:space="preserve">Wydział Nauk o Zdrowiu — Kierunek: Pielęgniarstwo</w:t>
      </w:r>
    </w:p>
    <w:p>
      <w:pPr>
        <w:pStyle w:val="Center"/>
      </w:pPr>
      <w:r>
        <w:rPr>
          <w:b/>
          <w:bCs/>
        </w:rPr>
        <w:t xml:space="preserve">Anna Nowak</w:t>
      </w:r>
    </w:p>
    <w:p>
      <w:pPr>
        <w:pStyle w:val="Center"/>
      </w:pPr>
      <w:r>
        <w:t xml:space="preserve">nr albumu 000000</w:t>
      </w:r>
    </w:p>
    <w:p>
      <w:pPr>
        <w:pStyle w:val="Center"/>
      </w:pPr>
      <w:r>
        <w:rPr>
          <w:b/>
          <w:bCs/>
        </w:rPr>
        <w:t xml:space="preserve">Akceptacja choroby a jakość życia pacjentów z cukrzycą typu 2</w:t>
      </w:r>
    </w:p>
    <w:p>
      <w:pPr>
        <w:pStyle w:val="Center"/>
      </w:pPr>
      <w:r>
        <w:t xml:space="preserve">Praca magisterska</w:t>
      </w:r>
    </w:p>
    <w:p>
      <w:pPr>
        <w:pStyle w:val="Center"/>
      </w:pPr>
      <w:r>
        <w:t xml:space="preserve">napisana pod kierunkiem</w:t>
      </w:r>
    </w:p>
    <w:p>
      <w:pPr>
        <w:pStyle w:val="Center"/>
      </w:pPr>
      <w:r>
        <w:t xml:space="preserve">dr hab. n. o zdr. ________________</w:t>
      </w:r>
    </w:p>
    <w:p>
      <w:pPr>
        <w:pStyle w:val="Center"/>
      </w:pPr>
      <w:r>
        <w:t xml:space="preserve">[Miasto], 2026</w:t>
      </w:r>
    </w:p>
    <w:p>
      <w:pPr>
        <w:pStyle w:val="Note"/>
      </w:pPr>
      <w:r>
        <w:rPr>
          <w:b/>
          <w:bCs/>
        </w:rPr>
        <w:t xml:space="preserve">Jak korzystać z tego wzoru.</w:t>
      </w:r>
      <w:r>
        <w:t xml:space="preserve"> </w:t>
      </w:r>
      <w:r>
        <w:t xml:space="preserve">To kompletny szkielet empirycznej (badawczej) pracy magisterskiej z pielęgniarstwa z przykładową treścią i komentarzami. Niebieskie adnotacje opisują funkcję każdej części — usuń je w swojej pracy. Treść, dane liczbowe i nazwiska są ilustracją. Pamiętaj, że badania z udziałem pacjentów wymagają zwykle zgody komisji bioetycznej i zgody placówki — to specyfika pielęgniarstwa. Sprawdź wytyczne uczelni. Pełne poradniki: praca-magisterska.pl/poradniki/</w:t>
      </w:r>
    </w:p>
    <w:bookmarkStart w:id="20" w:name="streszczenie"/>
    <w:p>
      <w:pPr>
        <w:pStyle w:val="Heading1"/>
      </w:pPr>
      <w:r>
        <w:t xml:space="preserve">Streszczenie</w:t>
      </w:r>
    </w:p>
    <w:p>
      <w:pPr>
        <w:pStyle w:val="FirstParagraph"/>
      </w:pPr>
      <w:r>
        <w:t xml:space="preserve">Wstęp: Cukrzyca typu 2 jest chorobą przewlekłą, której przebieg w dużej mierze zależy od codziennych zachowań pacjenta. Stopień akceptacji choroby może wpływać na jakość życia i skuteczność samoopieki. Cel: Ocena związku między poziomem akceptacji choroby a jakością życia pacjentów z cukrzycą typu 2. Materiał i metody: Badaniem objęto 120 pacjentów poradni diabetologicznej. Zastosowano Skalę Akceptacji Choroby (AIS) oraz kwestionariusz jakości życia WHOQOL-BREF. Wyniki: Wykazano dodatni związek między akceptacją choroby a jakością życia we wszystkich domenach (p &lt; 0,001). Wnioski: Wzmacnianie akceptacji choroby, m.in. przez edukację prowadzoną przez pielęgniarkę, może poprawiać jakość życia pacjentów z cukrzycą typu 2.</w:t>
      </w:r>
    </w:p>
    <w:p>
      <w:pPr>
        <w:pStyle w:val="BodyText"/>
      </w:pPr>
      <w:r>
        <w:rPr>
          <w:b/>
          <w:bCs/>
        </w:rPr>
        <w:t xml:space="preserve">Słowa kluczowe:</w:t>
      </w:r>
      <w:r>
        <w:t xml:space="preserve"> </w:t>
      </w:r>
      <w:r>
        <w:t xml:space="preserve">cukrzyca typu 2, akceptacja choroby, jakość życia, opieka pielęgniarska.</w:t>
      </w:r>
    </w:p>
    <w:p>
      <w:pPr>
        <w:pStyle w:val="Anno"/>
      </w:pPr>
      <w:r>
        <w:t xml:space="preserve">[W pracach medycznych streszczenie bywa wymagane w układzie strukturalnym (Wstęp – Cel – Materiał i metody – Wyniki – Wnioski). Sprawdź, czy Twoja uczelnia wymaga takiego podziału, oraz dołącz wersję angielską (Abstract).]</w:t>
      </w:r>
    </w:p>
    <w:bookmarkEnd w:id="20"/>
    <w:bookmarkStart w:id="21" w:name="spis-treści"/>
    <w:p>
      <w:pPr>
        <w:pStyle w:val="Heading1"/>
      </w:pPr>
      <w:r>
        <w:t xml:space="preserve">Spis treści</w:t>
      </w:r>
    </w:p>
    <w:p>
      <w:pPr>
        <w:pStyle w:val="Note"/>
      </w:pPr>
      <w:r>
        <w:t xml:space="preserve">Wstęp</w:t>
      </w:r>
      <w:r>
        <w:t xml:space="preserve"> </w:t>
      </w:r>
    </w:p>
    <w:p>
      <w:pPr>
        <w:pStyle w:val="Note"/>
      </w:pPr>
      <w:r>
        <w:t xml:space="preserve">Rozdział 1. Cukrzyca typu 2 i akceptacja choroby w świetle literatury</w:t>
      </w:r>
      <w:r>
        <w:t xml:space="preserve"> </w:t>
      </w:r>
    </w:p>
    <w:p>
      <w:pPr>
        <w:pStyle w:val="Note"/>
      </w:pPr>
      <w:r>
        <w:t xml:space="preserve">1.1. Epidemiologia, obraz kliniczny i powikłania cukrzycy typu 2</w:t>
      </w:r>
      <w:r>
        <w:t xml:space="preserve"> </w:t>
      </w:r>
    </w:p>
    <w:p>
      <w:pPr>
        <w:pStyle w:val="Note"/>
      </w:pPr>
      <w:r>
        <w:t xml:space="preserve">1.2. Akceptacja choroby przewlekłej — ujęcie teoretyczne</w:t>
      </w:r>
      <w:r>
        <w:t xml:space="preserve"> </w:t>
      </w:r>
    </w:p>
    <w:p>
      <w:pPr>
        <w:pStyle w:val="Note"/>
      </w:pPr>
      <w:r>
        <w:t xml:space="preserve">1.3. Jakość życia w chorobie przewlekłej</w:t>
      </w:r>
      <w:r>
        <w:t xml:space="preserve"> </w:t>
      </w:r>
    </w:p>
    <w:p>
      <w:pPr>
        <w:pStyle w:val="Note"/>
      </w:pPr>
      <w:r>
        <w:t xml:space="preserve">1.4. Rola pielęgniarki w opiece i edukacji diabetologicznej</w:t>
      </w:r>
      <w:r>
        <w:t xml:space="preserve"> </w:t>
      </w:r>
    </w:p>
    <w:p>
      <w:pPr>
        <w:pStyle w:val="Note"/>
      </w:pPr>
      <w:r>
        <w:t xml:space="preserve">Rozdział 2. Założenia metodologiczne badań własnych</w:t>
      </w:r>
      <w:r>
        <w:t xml:space="preserve"> </w:t>
      </w:r>
    </w:p>
    <w:p>
      <w:pPr>
        <w:pStyle w:val="Note"/>
      </w:pPr>
      <w:r>
        <w:t xml:space="preserve">2.1. Cel, problemy badawcze i hipotezy</w:t>
      </w:r>
      <w:r>
        <w:t xml:space="preserve"> </w:t>
      </w:r>
    </w:p>
    <w:p>
      <w:pPr>
        <w:pStyle w:val="Note"/>
      </w:pPr>
      <w:r>
        <w:t xml:space="preserve">2.2. Metoda, techniki i narzędzia badawcze</w:t>
      </w:r>
      <w:r>
        <w:t xml:space="preserve"> </w:t>
      </w:r>
    </w:p>
    <w:p>
      <w:pPr>
        <w:pStyle w:val="Note"/>
      </w:pPr>
      <w:r>
        <w:t xml:space="preserve">2.3. Organizacja i przebieg badań</w:t>
      </w:r>
      <w:r>
        <w:t xml:space="preserve"> </w:t>
      </w:r>
    </w:p>
    <w:p>
      <w:pPr>
        <w:pStyle w:val="Note"/>
      </w:pPr>
      <w:r>
        <w:t xml:space="preserve">2.4. Charakterystyka grupy badanej</w:t>
      </w:r>
      <w:r>
        <w:t xml:space="preserve"> </w:t>
      </w:r>
    </w:p>
    <w:p>
      <w:pPr>
        <w:pStyle w:val="Note"/>
      </w:pPr>
      <w:r>
        <w:t xml:space="preserve">Rozdział 3. Analiza wyników badań własnych</w:t>
      </w:r>
      <w:r>
        <w:t xml:space="preserve"> </w:t>
      </w:r>
    </w:p>
    <w:p>
      <w:pPr>
        <w:pStyle w:val="Note"/>
      </w:pPr>
      <w:r>
        <w:t xml:space="preserve">3.1. Poziom akceptacji choroby i jakości życia</w:t>
      </w:r>
      <w:r>
        <w:t xml:space="preserve"> </w:t>
      </w:r>
    </w:p>
    <w:p>
      <w:pPr>
        <w:pStyle w:val="Note"/>
      </w:pPr>
      <w:r>
        <w:t xml:space="preserve">3.2. Weryfikacja hipotez</w:t>
      </w:r>
      <w:r>
        <w:t xml:space="preserve"> </w:t>
      </w:r>
    </w:p>
    <w:p>
      <w:pPr>
        <w:pStyle w:val="Note"/>
      </w:pPr>
      <w:r>
        <w:t xml:space="preserve">Rozdział 4. Dyskusja</w:t>
      </w:r>
      <w:r>
        <w:t xml:space="preserve"> </w:t>
      </w:r>
    </w:p>
    <w:p>
      <w:pPr>
        <w:pStyle w:val="Note"/>
      </w:pPr>
      <w:r>
        <w:t xml:space="preserve">Wnioski</w:t>
      </w:r>
      <w:r>
        <w:t xml:space="preserve"> </w:t>
      </w:r>
    </w:p>
    <w:p>
      <w:pPr>
        <w:pStyle w:val="Note"/>
      </w:pPr>
      <w:r>
        <w:t xml:space="preserve">Piśmiennictwo · Spis tabel · Aneks</w:t>
      </w:r>
      <w:r>
        <w:t xml:space="preserve"> </w:t>
      </w:r>
    </w:p>
    <w:bookmarkEnd w:id="21"/>
    <w:bookmarkStart w:id="22" w:name="wstęp"/>
    <w:p>
      <w:pPr>
        <w:pStyle w:val="Heading1"/>
      </w:pPr>
      <w:r>
        <w:t xml:space="preserve">Wstęp</w:t>
      </w:r>
    </w:p>
    <w:p>
      <w:pPr>
        <w:pStyle w:val="Anno"/>
      </w:pPr>
      <w:r>
        <w:t xml:space="preserve">[Akapit 1 — kontekst i skala problemu, najlepiej z danymi epidemiologicznymi.]</w:t>
      </w:r>
    </w:p>
    <w:p>
      <w:pPr>
        <w:pStyle w:val="BodyText"/>
      </w:pPr>
      <w:r>
        <w:t xml:space="preserve">Cukrzyca typu 2 należy do najczęstszych chorób przewlekłych w Polsce — choruje na nią ponad dwa miliony dorosłych, a liczba ta systematycznie rośnie. Skuteczność leczenia zależy w dużej mierze nie od samej farmakoterapii, lecz od codziennych decyzji pacjenta dotyczących diety, aktywności fizycznej i samokontroli glikemii.</w:t>
      </w:r>
    </w:p>
    <w:p>
      <w:pPr>
        <w:pStyle w:val="Anno"/>
      </w:pPr>
      <w:r>
        <w:t xml:space="preserve">[Akapit 2 — luka i uzasadnienie: dlaczego akceptacja choroby i jakość życia, dlaczego w opiece pielęgniarskiej.]</w:t>
      </w:r>
    </w:p>
    <w:p>
      <w:pPr>
        <w:pStyle w:val="BodyText"/>
      </w:pPr>
      <w:r>
        <w:t xml:space="preserve">W podejściu opartym na dowodach (Evidence-Based Practice) coraz większą wagę przypisuje się psychospołecznym uwarunkowaniom przebiegu choroby. Jednym z nich jest akceptacja choroby — stopień, w jakim pacjent godzi się z ograniczeniami wynikającymi ze schorzenia. Związek akceptacji choroby z jakością życia pacjentów z cukrzycą typu 2 w polskich warunkach nie został dotąd dostatecznie opisany, co uzasadnia podjęcie tematu.</w:t>
      </w:r>
    </w:p>
    <w:p>
      <w:pPr>
        <w:pStyle w:val="Anno"/>
      </w:pPr>
      <w:r>
        <w:t xml:space="preserve">[Akapit 3 — cel pracy i zapowiedź struktury.]</w:t>
      </w:r>
    </w:p>
    <w:p>
      <w:pPr>
        <w:pStyle w:val="BodyText"/>
      </w:pPr>
      <w:r>
        <w:t xml:space="preserve">Celem pracy jest ocena związku między poziomem akceptacji choroby a jakością życia pacjentów z cukrzycą typu 2. Praca składa się z części teoretycznej, rozdziału metodologicznego oraz analizy wyników badań własnych zakończonej dyskusją i wnioskami.</w:t>
      </w:r>
    </w:p>
    <w:bookmarkEnd w:id="22"/>
    <w:bookmarkStart w:id="27" w:name="X6b196bda4adb65eb4eb0dddcb2b5cfab5dae335"/>
    <w:p>
      <w:pPr>
        <w:pStyle w:val="Heading1"/>
      </w:pPr>
      <w:r>
        <w:t xml:space="preserve">Rozdział 2. Założenia metodologiczne badań własnych</w:t>
      </w:r>
    </w:p>
    <w:bookmarkStart w:id="23" w:name="cel-problemy-badawcze-i-hipotezy"/>
    <w:p>
      <w:pPr>
        <w:pStyle w:val="Heading2"/>
      </w:pPr>
      <w:r>
        <w:t xml:space="preserve">2.1. Cel, problemy badawcze i hipotezy</w:t>
      </w:r>
    </w:p>
    <w:p>
      <w:pPr>
        <w:pStyle w:val="FirstParagraph"/>
      </w:pPr>
      <w:r>
        <w:rPr>
          <w:b/>
          <w:bCs/>
        </w:rPr>
        <w:t xml:space="preserve">Cel pracy.</w:t>
      </w:r>
      <w:r>
        <w:t xml:space="preserve"> </w:t>
      </w:r>
      <w:r>
        <w:t xml:space="preserve">Ocena związku między poziomem akceptacji choroby a jakością życia pacjentów z cukrzycą typu 2.</w:t>
      </w:r>
    </w:p>
    <w:p>
      <w:pPr>
        <w:pStyle w:val="BodyText"/>
      </w:pPr>
      <w:r>
        <w:rPr>
          <w:b/>
          <w:bCs/>
        </w:rPr>
        <w:t xml:space="preserve">Problemy badawcze:</w:t>
      </w:r>
    </w:p>
    <w:p>
      <w:pPr>
        <w:pStyle w:val="Compact"/>
        <w:numPr>
          <w:ilvl w:val="0"/>
          <w:numId w:val="1001"/>
        </w:numPr>
      </w:pPr>
      <w:r>
        <w:t xml:space="preserve">Jaki jest poziom akceptacji choroby w badanej grupie?</w:t>
      </w:r>
    </w:p>
    <w:p>
      <w:pPr>
        <w:pStyle w:val="Compact"/>
        <w:numPr>
          <w:ilvl w:val="0"/>
          <w:numId w:val="1001"/>
        </w:numPr>
      </w:pPr>
      <w:r>
        <w:t xml:space="preserve">Jaki jest poziom jakości życia badanych w poszczególnych domenach?</w:t>
      </w:r>
    </w:p>
    <w:p>
      <w:pPr>
        <w:pStyle w:val="Compact"/>
        <w:numPr>
          <w:ilvl w:val="0"/>
          <w:numId w:val="1001"/>
        </w:numPr>
      </w:pPr>
      <w:r>
        <w:t xml:space="preserve">Czy istnieje związek między akceptacją choroby a jakością życia?</w:t>
      </w:r>
    </w:p>
    <w:p>
      <w:pPr>
        <w:pStyle w:val="FirstParagraph"/>
      </w:pPr>
      <w:r>
        <w:rPr>
          <w:b/>
          <w:bCs/>
        </w:rPr>
        <w:t xml:space="preserve">Hipotezy: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H1:</w:t>
      </w:r>
      <w:r>
        <w:t xml:space="preserve"> </w:t>
      </w:r>
      <w:r>
        <w:t xml:space="preserve">Wyższy poziom akceptacji choroby wiąże się z wyższą jakością życia we wszystkich domenach.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H2:</w:t>
      </w:r>
      <w:r>
        <w:t xml:space="preserve"> </w:t>
      </w:r>
      <w:r>
        <w:t xml:space="preserve">Zmienne socjodemograficzne (wiek, czas trwania choroby) różnicują poziom akceptacji choroby.</w:t>
      </w:r>
    </w:p>
    <w:bookmarkEnd w:id="23"/>
    <w:bookmarkStart w:id="24" w:name="metoda-techniki-i-narzędzia-badawcze"/>
    <w:p>
      <w:pPr>
        <w:pStyle w:val="Heading2"/>
      </w:pPr>
      <w:r>
        <w:t xml:space="preserve">2.2. Metoda, techniki i narzędzia badawcze</w:t>
      </w:r>
    </w:p>
    <w:p>
      <w:pPr>
        <w:pStyle w:val="FirstParagraph"/>
      </w:pPr>
      <w:r>
        <w:t xml:space="preserve">W pracy zastosowano metodę sondażu diagnostycznego. Wykorzystano dwa wystandaryzowane narzędzia:</w:t>
      </w:r>
      <w:r>
        <w:t xml:space="preserve"> </w:t>
      </w:r>
      <w:r>
        <w:rPr>
          <w:b/>
          <w:bCs/>
        </w:rPr>
        <w:t xml:space="preserve">Skalę Akceptacji Choroby (AIS)</w:t>
      </w:r>
      <w:r>
        <w:t xml:space="preserve"> </w:t>
      </w:r>
      <w:r>
        <w:t xml:space="preserve">oraz kwestionariusz</w:t>
      </w:r>
      <w:r>
        <w:t xml:space="preserve"> </w:t>
      </w:r>
      <w:r>
        <w:rPr>
          <w:b/>
          <w:bCs/>
        </w:rPr>
        <w:t xml:space="preserve">WHOQOL-BREF</w:t>
      </w:r>
      <w:r>
        <w:t xml:space="preserve"> </w:t>
      </w:r>
      <w:r>
        <w:t xml:space="preserve">do oceny jakości życia, a także autorską metryczkę. Rzetelność skal w badanej próbie oceniono współczynnikiem alfa Cronbacha.</w:t>
      </w:r>
    </w:p>
    <w:p>
      <w:pPr>
        <w:pStyle w:val="Anno"/>
      </w:pPr>
      <w:r>
        <w:t xml:space="preserve">[To charakterystyczne dla pielęgniarstwa: korzystaj z uznanych, wystandaryzowanych skal właściwych dla problemu (np. AIS, WHOQOL-BREF, Barthel, Norton, NRS/VAS, MNA). Każdą skalę opisz i podaj jej rzetelność. Narzędzia autorskie rezerwuj dla metryczki i pytań o fakty.]</w:t>
      </w:r>
    </w:p>
    <w:bookmarkEnd w:id="24"/>
    <w:bookmarkStart w:id="25" w:name="organizacja-i-przebieg-badań"/>
    <w:p>
      <w:pPr>
        <w:pStyle w:val="Heading2"/>
      </w:pPr>
      <w:r>
        <w:t xml:space="preserve">2.3. Organizacja i przebieg badań</w:t>
      </w:r>
    </w:p>
    <w:p>
      <w:pPr>
        <w:pStyle w:val="FirstParagraph"/>
      </w:pPr>
      <w:r>
        <w:t xml:space="preserve">Badanie przeprowadzono wśród pacjentów poradni diabetologicznej po uzyskaniu</w:t>
      </w:r>
      <w:r>
        <w:t xml:space="preserve"> </w:t>
      </w:r>
      <w:r>
        <w:rPr>
          <w:b/>
          <w:bCs/>
        </w:rPr>
        <w:t xml:space="preserve">zgody komisji bioetycznej</w:t>
      </w:r>
      <w:r>
        <w:t xml:space="preserve"> </w:t>
      </w:r>
      <w:r>
        <w:t xml:space="preserve">oraz zgody kierownictwa placówki. Udział był dobrowolny i anonimowy; każdy pacjent wyraził świadomą zgodę po zapoznaniu się z celem badania.</w:t>
      </w:r>
    </w:p>
    <w:p>
      <w:pPr>
        <w:pStyle w:val="Anno"/>
      </w:pPr>
      <w:r>
        <w:t xml:space="preserve">[Zgoda komisji bioetycznej i zgoda placówki to standard w badaniach pielęgniarskich z udziałem pacjentów — opisz je w procedurze. Bez tego recenzent zakwestionuje stronę etyczną pracy.]</w:t>
      </w:r>
    </w:p>
    <w:bookmarkEnd w:id="25"/>
    <w:bookmarkStart w:id="26" w:name="charakterystyka-grupy-badanej"/>
    <w:p>
      <w:pPr>
        <w:pStyle w:val="Heading2"/>
      </w:pPr>
      <w:r>
        <w:t xml:space="preserve">2.4. Charakterystyka grupy badanej</w:t>
      </w:r>
    </w:p>
    <w:p>
      <w:pPr>
        <w:pStyle w:val="FirstParagraph"/>
      </w:pPr>
      <w:r>
        <w:t xml:space="preserve">W badaniu wzięło udział 120 pacjentów z rozpoznaną cukrzycą typu 2 (58% kobiet, 42% mężczyzn). Średni wiek wyniósł 62,3 roku, a średni czas trwania choroby — 9,1 roku.</w:t>
      </w:r>
    </w:p>
    <w:bookmarkEnd w:id="26"/>
    <w:bookmarkEnd w:id="27"/>
    <w:bookmarkStart w:id="29" w:name="X8a5e6bbefc2c88fa63575b508a6328e46587cd4"/>
    <w:p>
      <w:pPr>
        <w:pStyle w:val="Heading1"/>
      </w:pPr>
      <w:r>
        <w:t xml:space="preserve">Rozdział 3. Analiza wyników badań własnych</w:t>
      </w:r>
    </w:p>
    <w:bookmarkStart w:id="28" w:name="weryfikacja-hipotez"/>
    <w:p>
      <w:pPr>
        <w:pStyle w:val="Heading2"/>
      </w:pPr>
      <w:r>
        <w:t xml:space="preserve">3.2. Weryfikacja hipotez</w:t>
      </w:r>
    </w:p>
    <w:p>
      <w:pPr>
        <w:pStyle w:val="FirstParagraph"/>
      </w:pPr>
      <w:r>
        <w:t xml:space="preserve">Stwierdzono dodatni, istotny statystycznie związek między akceptacją choroby (AIS) a jakością życia (WHOQOL-BREF) we wszystkich domenach. Współczynniki korelacji przedstawia tabela 1.</w:t>
      </w:r>
    </w:p>
    <w:p>
      <w:pPr>
        <w:pStyle w:val="BodyText"/>
      </w:pPr>
      <w:r>
        <w:t xml:space="preserve">Tabela 1. Korelacje akceptacji choroby (AIS) z domenami jakości życia (r-Pearsona; N = 120)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Domena jakości życia (WHOQOL-BREF)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r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p</w:t>
            </w:r>
          </w:p>
        </w:tc>
      </w:tr>
      <w:tr>
        <w:tc>
          <w:tcPr/>
          <w:p>
            <w:pPr>
              <w:pStyle w:val="Compact"/>
            </w:pPr>
            <w:r>
              <w:t xml:space="preserve">Fizyczna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0,51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&lt; 0,001</w:t>
            </w:r>
          </w:p>
        </w:tc>
      </w:tr>
      <w:tr>
        <w:tc>
          <w:tcPr/>
          <w:p>
            <w:pPr>
              <w:pStyle w:val="Compact"/>
            </w:pPr>
            <w:r>
              <w:t xml:space="preserve">Psychologiczna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0,47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&lt; 0,001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Relacje społeczne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0,38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&lt; 0,001</w:t>
            </w:r>
          </w:p>
        </w:tc>
      </w:tr>
      <w:tr>
        <w:tc>
          <w:tcPr/>
          <w:p>
            <w:pPr>
              <w:pStyle w:val="Compact"/>
            </w:pPr>
            <w:r>
              <w:t xml:space="preserve">Środowiskowa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0,34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&lt; 0,001</w:t>
            </w:r>
          </w:p>
        </w:tc>
      </w:tr>
    </w:tbl>
    <w:p>
      <w:pPr>
        <w:pStyle w:val="BodyText"/>
      </w:pPr>
      <w:r>
        <w:rPr>
          <w:i/>
          <w:iCs/>
        </w:rPr>
        <w:t xml:space="preserve">Źródło: badania własne.</w:t>
      </w:r>
    </w:p>
    <w:p>
      <w:pPr>
        <w:pStyle w:val="Anno"/>
      </w:pPr>
      <w:r>
        <w:t xml:space="preserve">[Tabele numeruj i tytułuj (tytuł nad tabelą), podawaj źródło. W tekście opisuj tendencję, nie powtarzaj wszystkich liczb. Interpretacja należy do dyskusji.]</w:t>
      </w:r>
    </w:p>
    <w:bookmarkEnd w:id="28"/>
    <w:bookmarkEnd w:id="29"/>
    <w:bookmarkStart w:id="30" w:name="rozdział-4.-dyskusja"/>
    <w:p>
      <w:pPr>
        <w:pStyle w:val="Heading1"/>
      </w:pPr>
      <w:r>
        <w:t xml:space="preserve">Rozdział 4. Dyskusja</w:t>
      </w:r>
    </w:p>
    <w:p>
      <w:pPr>
        <w:pStyle w:val="FirstParagraph"/>
      </w:pPr>
      <w:r>
        <w:t xml:space="preserve">Uzyskane wyniki są spójne z dotychczasowymi badaniami wskazującymi na ochronną rolę akceptacji choroby dla dobrostanu pacjentów przewlekle chorych. Najsilniejszy związek z domeną fizyczną można tłumaczyć tym, że pacjenci akceptujący chorobę chętniej podejmują samoopiekę.</w:t>
      </w:r>
    </w:p>
    <w:p>
      <w:pPr>
        <w:pStyle w:val="Anno"/>
      </w:pPr>
      <w:r>
        <w:t xml:space="preserve">[Dyskusja konfrontuje wyniki własne z piśmiennictwem z rozdziału teoretycznego. Wskaż zbieżności i rozbieżności oraz ich możliwe przyczyny; nie wprowadzaj nowych danych.]</w:t>
      </w:r>
    </w:p>
    <w:bookmarkEnd w:id="30"/>
    <w:bookmarkStart w:id="31" w:name="wnioski"/>
    <w:p>
      <w:pPr>
        <w:pStyle w:val="Heading1"/>
      </w:pPr>
      <w:r>
        <w:t xml:space="preserve">Wnioski</w:t>
      </w:r>
    </w:p>
    <w:p>
      <w:pPr>
        <w:pStyle w:val="Compact"/>
        <w:numPr>
          <w:ilvl w:val="0"/>
          <w:numId w:val="1003"/>
        </w:numPr>
      </w:pPr>
      <w:r>
        <w:t xml:space="preserve">Pacjenci z cukrzycą typu 2 prezentowali zróżnicowany poziom akceptacji choroby.</w:t>
      </w:r>
    </w:p>
    <w:p>
      <w:pPr>
        <w:pStyle w:val="Compact"/>
        <w:numPr>
          <w:ilvl w:val="0"/>
          <w:numId w:val="1003"/>
        </w:numPr>
      </w:pPr>
      <w:r>
        <w:t xml:space="preserve">Wyższa akceptacja choroby wiązała się z wyższą jakością życia we wszystkich domenach.</w:t>
      </w:r>
    </w:p>
    <w:p>
      <w:pPr>
        <w:pStyle w:val="Compact"/>
        <w:numPr>
          <w:ilvl w:val="0"/>
          <w:numId w:val="1003"/>
        </w:numPr>
      </w:pPr>
      <w:r>
        <w:t xml:space="preserve">Wskazane jest uwzględnienie wsparcia akceptacji choroby — m.in. przez edukację pielęgniarską — w opiece nad pacjentem z cukrzycą typu 2.</w:t>
      </w:r>
    </w:p>
    <w:bookmarkEnd w:id="31"/>
    <w:bookmarkStart w:id="32" w:name="piśmiennictwo"/>
    <w:p>
      <w:pPr>
        <w:pStyle w:val="Heading1"/>
      </w:pPr>
      <w:r>
        <w:t xml:space="preserve">Piśmiennictwo</w:t>
      </w:r>
    </w:p>
    <w:p>
      <w:pPr>
        <w:pStyle w:val="Anno"/>
      </w:pPr>
      <w:r>
        <w:t xml:space="preserve">[W pracach pielęgniarskich i medycznych dominuje styl Vancouver: źródła numeruje się w kolejności cytowania w tekście. Sprawdź wytyczne uczelni — część dopuszcza APA.]</w:t>
      </w:r>
    </w:p>
    <w:p>
      <w:pPr>
        <w:pStyle w:val="Compact"/>
        <w:numPr>
          <w:ilvl w:val="0"/>
          <w:numId w:val="1004"/>
        </w:numPr>
      </w:pPr>
      <w:r>
        <w:t xml:space="preserve">Araszkiewicz A i wsp. Zalecenia kliniczne dotyczące postępowania u osób z cukrzycą 2025. Stanowisko Polskiego Towarzystwa Diabetologicznego. Curr Top Diabetes. 2025.</w:t>
      </w:r>
    </w:p>
    <w:p>
      <w:pPr>
        <w:pStyle w:val="Compact"/>
        <w:numPr>
          <w:ilvl w:val="0"/>
          <w:numId w:val="1004"/>
        </w:numPr>
      </w:pPr>
      <w:r>
        <w:t xml:space="preserve">Juczyński Z. Narzędzia pomiaru w promocji i psychologii zdrowia. Wyd. 2. Warszawa: Pracownia Testów Psychologicznych PTP; 2012.</w:t>
      </w:r>
    </w:p>
    <w:p>
      <w:pPr>
        <w:pStyle w:val="Compact"/>
        <w:numPr>
          <w:ilvl w:val="0"/>
          <w:numId w:val="1004"/>
        </w:numPr>
      </w:pPr>
      <w:r>
        <w:t xml:space="preserve">Szewczyk A, red. Pielęgniarstwo diabetologiczne. Warszawa: PZWL; 2019.</w:t>
      </w:r>
    </w:p>
    <w:bookmarkEnd w:id="32"/>
    <w:bookmarkStart w:id="36" w:name="aneks"/>
    <w:p>
      <w:pPr>
        <w:pStyle w:val="Heading1"/>
      </w:pPr>
      <w:r>
        <w:t xml:space="preserve">Aneks</w:t>
      </w:r>
    </w:p>
    <w:p>
      <w:pPr>
        <w:pStyle w:val="Anno"/>
      </w:pPr>
      <w:r>
        <w:t xml:space="preserve">[W aneksie umieszcza się narzędzia i dokumenty: kwestionariusz, zgodę komisji bioetycznej, wzór świadomej zgody pacjenta. Poniżej fragment metryczki.]</w:t>
      </w:r>
    </w:p>
    <w:p>
      <w:pPr>
        <w:pStyle w:val="BodyText"/>
      </w:pPr>
      <w:r>
        <w:rPr>
          <w:b/>
          <w:bCs/>
        </w:rPr>
        <w:t xml:space="preserve">Metryczka (fragment):</w:t>
      </w:r>
      <w:r>
        <w:t xml:space="preserve"> </w:t>
      </w:r>
      <w:r>
        <w:t xml:space="preserve">1. Płeć: kobieta / mężczyzna. 2. Wiek: …… 3. Czas trwania cukrzycy (w latach): …… 4. Leczenie: dieta / leki doustne / insulina. 5. Powikłania cukrzycy: tak / nie.</w:t>
      </w:r>
    </w:p>
    <w:p>
      <w:r>
        <w:br w:type="page"/>
      </w:r>
    </w:p>
    <w:p>
      <w:pPr>
        <w:pStyle w:val="Center"/>
      </w:pPr>
      <w:r>
        <w:rPr>
          <w:b/>
          <w:bCs/>
        </w:rPr>
        <w:t xml:space="preserve">O tym wzorze</w:t>
      </w:r>
    </w:p>
    <w:p>
      <w:pPr>
        <w:pStyle w:val="BodyText"/>
      </w:pPr>
      <w:r>
        <w:t xml:space="preserve">Wzór przygotowała redakcja serwisu</w:t>
      </w:r>
      <w:r>
        <w:t xml:space="preserve"> </w:t>
      </w:r>
      <w:r>
        <w:rPr>
          <w:b/>
          <w:bCs/>
        </w:rPr>
        <w:t xml:space="preserve">praca-magisterska.pl</w:t>
      </w:r>
      <w:r>
        <w:t xml:space="preserve">. Możesz swobodnie wykorzystać jego strukturę, tabele i przypisy we własnej pracy. Pamiętaj tylko, żeby treść dostosować do wymagań swojego promotora i uczelni.</w:t>
      </w:r>
    </w:p>
    <w:p>
      <w:pPr>
        <w:pStyle w:val="Note"/>
      </w:pPr>
      <w:r>
        <w:rPr>
          <w:b/>
          <w:bCs/>
        </w:rPr>
        <w:t xml:space="preserve">Smart-Edu.ai — pierwsza wersja pracy w kilka godzin, nie w kilka miesięcy</w:t>
      </w:r>
    </w:p>
    <w:p>
      <w:pPr>
        <w:pStyle w:val="Note"/>
      </w:pPr>
      <w:r>
        <w:t xml:space="preserve">Podajesz temat, kierunek studiów i wytyczne promotora, a sztuczna inteligencja generuje unikalny, gotowy do edycji tekst: z poprawną strukturą rozdziałów, przypisami i bibliografią. Rejestracja jest darmowa, płacisz wyłącznie za wygenerowany tekst.</w:t>
      </w:r>
    </w:p>
    <w:p>
      <w:pPr>
        <w:pStyle w:val="Note"/>
      </w:pPr>
      <w:hyperlink r:id="rId33">
        <w:r>
          <w:rPr>
            <w:rStyle w:val="Hyperlink"/>
            <w:b/>
            <w:bCs/>
          </w:rPr>
          <w:t xml:space="preserve">www.smart-edu.ai</w:t>
        </w:r>
      </w:hyperlink>
    </w:p>
    <w:p>
      <w:pPr>
        <w:pStyle w:val="BodyText"/>
      </w:pPr>
      <w:r>
        <w:t xml:space="preserve">Wolisz napisać pracę w pełni samodzielnie? Pomoże Ci ebook</w:t>
      </w:r>
      <w:r>
        <w:t xml:space="preserve"> </w:t>
      </w:r>
      <w:r>
        <w:rPr>
          <w:b/>
          <w:bCs/>
        </w:rPr>
        <w:t xml:space="preserve">„Jak napisać pracę magisterską. Kompletny przewodnik od A do Z”</w:t>
      </w:r>
      <w:r>
        <w:t xml:space="preserve"> </w:t>
      </w:r>
      <w:r>
        <w:t xml:space="preserve">— 250 stron praktycznych wskazówek, szablonów i checklist, z rozdziałem o etycznym korzystaniu z AI:</w:t>
      </w:r>
      <w:r>
        <w:t xml:space="preserve"> </w:t>
      </w:r>
      <w:hyperlink r:id="rId34">
        <w:r>
          <w:rPr>
            <w:rStyle w:val="Hyperlink"/>
          </w:rPr>
          <w:t xml:space="preserve">www.praca-magisterska.pl/sklep/praca-magisterska-ebook/</w:t>
        </w:r>
      </w:hyperlink>
    </w:p>
    <w:p>
      <w:pPr>
        <w:pStyle w:val="Center"/>
      </w:pPr>
      <w:r>
        <w:rPr>
          <w:i/>
          <w:iCs/>
        </w:rPr>
        <w:t xml:space="preserve">Darmowe poradniki, wzory i ponad 2500 tematów prac:</w:t>
      </w:r>
      <w:r>
        <w:t xml:space="preserve"> </w:t>
      </w:r>
      <w:hyperlink r:id="rId35">
        <w:r>
          <w:rPr>
            <w:rStyle w:val="Hyperlink"/>
            <w:b/>
            <w:bCs/>
          </w:rPr>
          <w:t xml:space="preserve">www.praca-magisterska.pl</w:t>
        </w:r>
      </w:hyperlink>
    </w:p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cs="Times New Roman" w:eastAsia="Times New Roman" w:hAnsi="Times New Roman"/>
        <w:sz w:val="24"/>
        <w:szCs w:val="24"/>
        <w:lang w:bidi="ar-SA" w:eastAsia="pl-PL" w:val="pl-PL"/>
      </w:rPr>
    </w:rPrDefault>
    <w:pPrDefault>
      <w:pPr>
        <w:spacing w:after="120" w:line="360" w:lineRule="auto"/>
        <w:jc w:val="both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customStyle="1" w:styleId="Center" w:type="paragraph">
    <w:name w:val="Center"/>
    <w:basedOn w:val="Normal"/>
    <w:pPr>
      <w:spacing w:after="60" w:line="276" w:lineRule="auto"/>
      <w:jc w:val="center"/>
    </w:pPr>
  </w:style>
  <w:style w:customStyle="1" w:styleId="Right" w:type="paragraph">
    <w:name w:val="Right"/>
    <w:basedOn w:val="Normal"/>
    <w:pPr>
      <w:jc w:val="right"/>
    </w:pPr>
  </w:style>
  <w:style w:customStyle="1" w:styleId="Anno" w:type="paragraph">
    <w:name w:val="Anno"/>
    <w:basedOn w:val="Normal"/>
    <w:pPr>
      <w:spacing w:after="20" w:before="80" w:line="240" w:lineRule="auto"/>
      <w:ind w:firstLine="0"/>
      <w:jc w:val="left"/>
    </w:pPr>
    <w:rPr>
      <w:rFonts w:ascii="Arial" w:cs="Arial" w:hAnsi="Arial"/>
      <w:i/>
      <w:color w:val="4F46E5"/>
      <w:sz w:val="19"/>
      <w:szCs w:val="19"/>
    </w:rPr>
  </w:style>
  <w:style w:customStyle="1" w:styleId="Note" w:type="paragraph">
    <w:name w:val="Note"/>
    <w:basedOn w:val="Normal"/>
    <w:pPr>
      <w:pBdr>
        <w:top w:color="C7D2FE" w:space="6" w:sz="4" w:val="single"/>
        <w:left w:color="C7D2FE" w:space="6" w:sz="4" w:val="single"/>
        <w:bottom w:color="C7D2FE" w:space="6" w:sz="4" w:val="single"/>
        <w:right w:color="C7D2FE" w:space="6" w:sz="4" w:val="single"/>
      </w:pBdr>
      <w:shd w:color="auto" w:fill="F5F7FF" w:val="clear"/>
      <w:spacing w:after="120" w:before="120" w:line="276" w:lineRule="auto"/>
      <w:ind w:firstLine="0"/>
      <w:jc w:val="left"/>
    </w:pPr>
    <w:rPr>
      <w:rFonts w:ascii="Arial" w:cs="Arial" w:hAnsi="Arial"/>
      <w:sz w:val="19"/>
      <w:szCs w:val="19"/>
    </w:rPr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33" Target="https://smart-edu.ai" TargetMode="External" /><Relationship Type="http://schemas.openxmlformats.org/officeDocument/2006/relationships/hyperlink" Id="rId35" Target="https://www.praca-magisterska.pl" TargetMode="External" /><Relationship Type="http://schemas.openxmlformats.org/officeDocument/2006/relationships/hyperlink" Id="rId34" Target="https://www.praca-magisterska.pl/sklep/praca-magisterska-ebook/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33" Target="https://smart-edu.ai" TargetMode="External" /><Relationship Type="http://schemas.openxmlformats.org/officeDocument/2006/relationships/hyperlink" Id="rId35" Target="https://www.praca-magisterska.pl" TargetMode="External" /><Relationship Type="http://schemas.openxmlformats.org/officeDocument/2006/relationships/hyperlink" Id="rId34" Target="https://www.praca-magisterska.pl/sklep/praca-magisterska-ebook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2026-07-17T07:11:03Z</dcterms:created>
  <dcterms:modified xsi:type="dcterms:W3CDTF">2026-07-17T07:11:03Z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