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Prawa i Administracji — Kierunek: Prawo</w:t>
      </w:r>
    </w:p>
    <w:p>
      <w:pPr>
        <w:pStyle w:val="Center"/>
      </w:pPr>
      <w:r>
        <w:rPr>
          <w:b/>
          <w:bCs/>
        </w:rPr>
        <w:t xml:space="preserve">Jan Kowalski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Zadośćuczynienie za doznaną krzywdę w polskim prawie cywilnym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________________, prof. UW</w:t>
      </w:r>
    </w:p>
    <w:p>
      <w:pPr>
        <w:pStyle w:val="Center"/>
      </w:pPr>
      <w:r>
        <w:t xml:space="preserve">Warszawa,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prawa o charakterze</w:t>
      </w:r>
      <w:r>
        <w:t xml:space="preserve"> </w:t>
      </w:r>
      <w:r>
        <w:rPr>
          <w:b/>
          <w:bCs/>
        </w:rPr>
        <w:t xml:space="preserve">dogmatyczno-prawnym</w:t>
      </w:r>
      <w:r>
        <w:t xml:space="preserve"> </w:t>
      </w:r>
      <w:r>
        <w:t xml:space="preserve">(analiza obowiązujących przepisów, doktryny i orzecznictwa) z przykładową treścią i komentarzami. Niebieskie adnotacje opisują funkcję każdej części — usuń je w swojej pracy. Treść i orzeczenia są ilustracją — zweryfikuj aktualny stan prawny i orzecznictwo. Zwróć uwagę na sposób cytowania aktów i wyroków w przypisach dolnych oraz na osobne wykazy na końcu.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Praca poświęcona jest instytucji zadośćuczynienia pieniężnego za doznaną krzywdę w polskim prawie cywilnym. Celem pracy jest analiza przesłanek przyznania zadośćuczynienia oraz kryteriów ustalania jego wysokości w świetle przepisów Kodeksu cywilnego, dorobku doktryny i orzecznictwa Sądu Najwyższego. W pracy postawiono tezę, że kodeksowe pojęcie „odpowiedniej sumy” pozostawia sądom szeroki zakres uznania, którego granice wyznacza dopiero orzecznictwo. Zastosowano metodę dogmatyczno-prawną, uzupełnioną elementami analizy orzecznictwa. Rozważania prowadzą do wniosków de lege lata oraz postulatów de lege ferenda dotyczących uściślenia kryteriów miarkowania zadośćuczynienia.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zadośćuczynienie, krzywda, dobra osobiste, odpowiedzialność cywilna, Kodeks cywilny.</w:t>
      </w:r>
    </w:p>
    <w:p>
      <w:pPr>
        <w:pStyle w:val="Anno"/>
      </w:pPr>
      <w:r>
        <w:t xml:space="preserve">[W pracy prawniczej streszczenie wskazuje przedmiot, cel, tezę i metodę oraz typ wniosków (de lege lata / de lege ferenda). Dołącz wersję angielską (Abstract), jeśli wymaga jej uczelnia.]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Wykaz skrótów</w:t>
      </w:r>
      <w:r>
        <w:t xml:space="preserve"> 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Pojęcie krzywdy i zadośćuczynienia w prawie cywilnym</w:t>
      </w:r>
      <w:r>
        <w:t xml:space="preserve"> </w:t>
      </w:r>
    </w:p>
    <w:p>
      <w:pPr>
        <w:pStyle w:val="Note"/>
      </w:pPr>
      <w:r>
        <w:t xml:space="preserve">1.1. Szkoda majątkowa a krzywda — rozróżnienie pojęciowe</w:t>
      </w:r>
      <w:r>
        <w:t xml:space="preserve"> </w:t>
      </w:r>
    </w:p>
    <w:p>
      <w:pPr>
        <w:pStyle w:val="Note"/>
      </w:pPr>
      <w:r>
        <w:t xml:space="preserve">1.2. Funkcje zadośćuczynienia pieniężnego</w:t>
      </w:r>
      <w:r>
        <w:t xml:space="preserve"> </w:t>
      </w:r>
    </w:p>
    <w:p>
      <w:pPr>
        <w:pStyle w:val="Note"/>
      </w:pPr>
      <w:r>
        <w:t xml:space="preserve">1.3. Rozwój regulacji w prawie polskim</w:t>
      </w:r>
      <w:r>
        <w:t xml:space="preserve"> </w:t>
      </w:r>
    </w:p>
    <w:p>
      <w:pPr>
        <w:pStyle w:val="Note"/>
      </w:pPr>
      <w:r>
        <w:t xml:space="preserve">Rozdział 2. Przesłanki przyznania zadośćuczynienia</w:t>
      </w:r>
      <w:r>
        <w:t xml:space="preserve"> </w:t>
      </w:r>
    </w:p>
    <w:p>
      <w:pPr>
        <w:pStyle w:val="Note"/>
      </w:pPr>
      <w:r>
        <w:t xml:space="preserve">2.1. Podstawy prawne (art. 445 i art. 448 k.c.)</w:t>
      </w:r>
      <w:r>
        <w:t xml:space="preserve"> </w:t>
      </w:r>
    </w:p>
    <w:p>
      <w:pPr>
        <w:pStyle w:val="Note"/>
      </w:pPr>
      <w:r>
        <w:t xml:space="preserve">2.2. Naruszenie dobra osobistego i związek przyczynowy</w:t>
      </w:r>
      <w:r>
        <w:t xml:space="preserve"> </w:t>
      </w:r>
    </w:p>
    <w:p>
      <w:pPr>
        <w:pStyle w:val="Note"/>
      </w:pPr>
      <w:r>
        <w:t xml:space="preserve">2.3. Wina i bezprawność</w:t>
      </w:r>
      <w:r>
        <w:t xml:space="preserve"> </w:t>
      </w:r>
    </w:p>
    <w:p>
      <w:pPr>
        <w:pStyle w:val="Note"/>
      </w:pPr>
      <w:r>
        <w:t xml:space="preserve">Rozdział 3. Ustalanie wysokości zadośćuczynienia</w:t>
      </w:r>
      <w:r>
        <w:t xml:space="preserve"> </w:t>
      </w:r>
    </w:p>
    <w:p>
      <w:pPr>
        <w:pStyle w:val="Note"/>
      </w:pPr>
      <w:r>
        <w:t xml:space="preserve">3.1. Kryterium „odpowiedniej sumy”</w:t>
      </w:r>
      <w:r>
        <w:t xml:space="preserve"> </w:t>
      </w:r>
    </w:p>
    <w:p>
      <w:pPr>
        <w:pStyle w:val="Note"/>
      </w:pPr>
      <w:r>
        <w:t xml:space="preserve">3.2. Kryteria wypracowane w orzecznictwie</w:t>
      </w:r>
      <w:r>
        <w:t xml:space="preserve"> </w:t>
      </w:r>
    </w:p>
    <w:p>
      <w:pPr>
        <w:pStyle w:val="Note"/>
      </w:pPr>
      <w:r>
        <w:t xml:space="preserve">3.3. Miarkowanie i zarzut nadmierności</w:t>
      </w:r>
      <w:r>
        <w:t xml:space="preserve"> </w:t>
      </w:r>
    </w:p>
    <w:p>
      <w:pPr>
        <w:pStyle w:val="Note"/>
      </w:pPr>
      <w:r>
        <w:t xml:space="preserve">Zakończenie — wnioski de lege lata i de lege ferenda</w:t>
      </w:r>
      <w:r>
        <w:t xml:space="preserve"> </w:t>
      </w:r>
    </w:p>
    <w:p>
      <w:pPr>
        <w:pStyle w:val="Note"/>
      </w:pPr>
      <w:r>
        <w:t xml:space="preserve">Wykaz literatury · Wykaz aktów prawnych · Wykaz orzecznictwa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wprowadzenie w instytucję prawną i jej znaczenie praktyczne.]</w:t>
      </w:r>
    </w:p>
    <w:p>
      <w:pPr>
        <w:pStyle w:val="BodyText"/>
      </w:pPr>
      <w:r>
        <w:t xml:space="preserve">Zadośćuczynienie pieniężne za doznaną krzywdę jest jednym z podstawowych instrumentów ochrony dóbr osobistych w prawie cywilnym. W odróżnieniu od odszkodowania, które kompensuje szkodę majątkową, zadośćuczynienie ma naprawić krzywdę, czyli uszczerbek o charakterze niemajątkowym — cierpienia fizyczne i psychiczne. Rosnąca liczba spraw o naruszenie dóbr osobistych czyni tę instytucję jednym z żywiej dyskutowanych zagadnień prawa cywilnego.</w:t>
      </w:r>
    </w:p>
    <w:p>
      <w:pPr>
        <w:pStyle w:val="Anno"/>
      </w:pPr>
      <w:r>
        <w:t xml:space="preserve">[Akapit 2 — przedmiot, cel i TEZA pracy. W pracy prawniczej zamiast hipotez stawia się tezę.]</w:t>
      </w:r>
    </w:p>
    <w:p>
      <w:pPr>
        <w:pStyle w:val="BodyText"/>
      </w:pPr>
      <w:r>
        <w:t xml:space="preserve">Przedmiotem pracy jest analiza przesłanek przyznania zadośćuczynienia oraz kryteriów ustalania jego wysokości. Celem pracy jest ustalenie, w jakim zakresie ustawowe pojęcie „odpowiedniej sumy” jest doprecyzowane przez doktrynę i orzecznictwo. W pracy postawiono tezę, zgodnie z którą kodeksowa formuła pozostawia sądom szeroki margines uznania, którego rzeczywiste granice wyznacza dopiero praktyka orzecznicza.</w:t>
      </w:r>
    </w:p>
    <w:p>
      <w:pPr>
        <w:pStyle w:val="Anno"/>
      </w:pPr>
      <w:r>
        <w:t xml:space="preserve">[Akapit 3 — metoda i struktura. Wskaż metodę badawczą właściwą dla prawa.]</w:t>
      </w:r>
    </w:p>
    <w:p>
      <w:pPr>
        <w:pStyle w:val="BodyText"/>
      </w:pPr>
      <w:r>
        <w:t xml:space="preserve">W pracy zastosowano metodę dogmatyczno-prawną, polegającą na analizie obowiązujących przepisów, poglądów doktryny i orzecznictwa, uzupełnioną elementami metody analizy orzecznictwa. Praca składa się z trzech rozdziałów: pierwszy wyjaśnia pojęcie krzywdy i funkcje zadośćuczynienia, drugi analizuje przesłanki jego przyznania, a trzeci — kryteria ustalania wysokości. Całość zamykają wnioski de lege lata oraz postulaty de lege ferenda.</w:t>
      </w:r>
    </w:p>
    <w:bookmarkEnd w:id="22"/>
    <w:bookmarkStart w:id="27" w:name="X703d024bce9dcbea580f6558f13a793132f6465"/>
    <w:p>
      <w:pPr>
        <w:pStyle w:val="Heading1"/>
      </w:pPr>
      <w:r>
        <w:t xml:space="preserve">Rozdział 2. Przesłanki przyznania zadośćuczynienia</w:t>
      </w:r>
    </w:p>
    <w:bookmarkStart w:id="24" w:name="podstawy-prawne"/>
    <w:p>
      <w:pPr>
        <w:pStyle w:val="Heading2"/>
      </w:pPr>
      <w:r>
        <w:t xml:space="preserve">2.1. Podstawy prawne</w:t>
      </w:r>
    </w:p>
    <w:p>
      <w:pPr>
        <w:pStyle w:val="FirstParagraph"/>
      </w:pPr>
      <w:r>
        <w:t xml:space="preserve">Podstawę przyznania zadośćuczynienia stanowią przede wszystkim art. 445 oraz art. 448 Kodeksu cywilnego.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Pierwszy z nich dotyczy zadośćuczynienia w razie uszkodzenia ciała lub wywołania rozstroju zdrowia, drugi — naruszenia dowolnego dobra osobistego. Zgodnie z art. 445 § 1 k.c. sąd może przyznać poszkodowanemu „odpowiednią sumę tytułem zadośćuczynienia za doznaną krzywdę”.</w:t>
      </w:r>
    </w:p>
    <w:p>
      <w:pPr>
        <w:pStyle w:val="Anno"/>
      </w:pPr>
      <w:r>
        <w:t xml:space="preserve">[Tak wygląda cytowanie aktu prawnego w przypisie dolnym: pełna nazwa, data, publikator (Dz.U.). W tekście używaj skrótu „k.c.” po pierwszym pełnym przywołaniu. Numer artykułu, paragrafu i ustępu podawaj precyzyjnie.]</w:t>
      </w:r>
    </w:p>
    <w:bookmarkEnd w:id="24"/>
    <w:bookmarkStart w:id="26" w:name="X762442d74cfb9fc6b0c9d21d535cc93948cd161"/>
    <w:p>
      <w:pPr>
        <w:pStyle w:val="Heading2"/>
      </w:pPr>
      <w:r>
        <w:t xml:space="preserve">2.2. Naruszenie dobra osobistego i związek przyczynowy</w:t>
      </w:r>
    </w:p>
    <w:p>
      <w:pPr>
        <w:pStyle w:val="FirstParagraph"/>
      </w:pPr>
      <w:r>
        <w:t xml:space="preserve">Przesłanką zadośćuczynienia jest naruszenie dobra osobistego pozostające w adekwatnym związku przyczynowym z zachowaniem sprawcy (art. 361 § 1 k.c.). W orzecznictwie przyjmuje się, że krzywda podlegająca naprawieniu musi być następstwem normalnym tego naruszenia.</w:t>
      </w:r>
      <w:r>
        <w:rPr>
          <w:rStyle w:val="FootnoteReference"/>
        </w:rPr>
        <w:footnoteReference w:id="25"/>
      </w:r>
    </w:p>
    <w:p>
      <w:pPr>
        <w:pStyle w:val="Anno"/>
      </w:pPr>
      <w:r>
        <w:t xml:space="preserve">[Cytowanie orzeczenia: rodzaj orzeczenia, sąd, data i sygnatura akt. Orzecznictwo jest w pracy dogmatycznej materiałem badawczym — analizuj je, nie tylko wyliczaj.]</w:t>
      </w:r>
    </w:p>
    <w:bookmarkEnd w:id="26"/>
    <w:bookmarkEnd w:id="27"/>
    <w:bookmarkStart w:id="30" w:name="X289c50850ee01c5aee27a2773e290815d9d7f9e"/>
    <w:p>
      <w:pPr>
        <w:pStyle w:val="Heading1"/>
      </w:pPr>
      <w:r>
        <w:t xml:space="preserve">Rozdział 3. Ustalanie wysokości zadośćuczynienia</w:t>
      </w:r>
    </w:p>
    <w:bookmarkStart w:id="28" w:name="kryterium-odpowiedniej-sumy"/>
    <w:p>
      <w:pPr>
        <w:pStyle w:val="Heading2"/>
      </w:pPr>
      <w:r>
        <w:t xml:space="preserve">3.1. Kryterium „odpowiedniej sumy”</w:t>
      </w:r>
    </w:p>
    <w:p>
      <w:pPr>
        <w:pStyle w:val="FirstParagraph"/>
      </w:pPr>
      <w:r>
        <w:t xml:space="preserve">Ustawodawca nie wskazał zamkniętego katalogu kryteriów ustalania wysokości zadośćuczynienia, posługując się klauzulą generalną „odpowiedniej sumy”. To właśnie ta otwartość czyni z orzecznictwa zasadnicze źródło rekonstrukcji kryteriów.</w:t>
      </w:r>
    </w:p>
    <w:p>
      <w:pPr>
        <w:pStyle w:val="Anno"/>
      </w:pPr>
      <w:r>
        <w:t xml:space="preserve">[W rozdziale analitycznym prowadź wywód: przepis → stanowiska doktryny → linia orzecznicza → własna ocena. Każde twierdzenie popieraj przypisem do źródła (komentarz, monografia, glosa, wyrok).]</w:t>
      </w:r>
    </w:p>
    <w:bookmarkEnd w:id="28"/>
    <w:bookmarkStart w:id="29" w:name="kryteria-wypracowane-w-orzecznictwie"/>
    <w:p>
      <w:pPr>
        <w:pStyle w:val="Heading2"/>
      </w:pPr>
      <w:r>
        <w:t xml:space="preserve">3.2. Kryteria wypracowane w orzecznictwie</w:t>
      </w:r>
    </w:p>
    <w:p>
      <w:pPr>
        <w:pStyle w:val="FirstParagraph"/>
      </w:pPr>
      <w:r>
        <w:t xml:space="preserve">W orzecznictwie Sądu Najwyższego utrwalił się katalog kryteriów uwzględnianych przy ustalaniu wysokości zadośćuczynienia: rozmiar i intensywność cierpień, trwałość następstw, wiek poszkodowanego oraz wpływ zdarzenia na jego dotychczasowe życie. Sumę „odpowiednią” rozumie się jako utrzymaną w rozsądnych granicach, odpowiadających aktualnym warunkom i przeciętnej stopie życiowej społeczeństwa.</w:t>
      </w:r>
    </w:p>
    <w:bookmarkEnd w:id="29"/>
    <w:bookmarkEnd w:id="30"/>
    <w:bookmarkStart w:id="31" w:name="X7f5f400039f69b2dedd049eeaa71d6b8ba01ed7"/>
    <w:p>
      <w:pPr>
        <w:pStyle w:val="Heading1"/>
      </w:pPr>
      <w:r>
        <w:t xml:space="preserve">Zakończenie — wnioski de lege lata i de lege ferenda</w:t>
      </w:r>
    </w:p>
    <w:p>
      <w:pPr>
        <w:pStyle w:val="Anno"/>
      </w:pPr>
      <w:r>
        <w:t xml:space="preserve">[Zakończenie pracy prawniczej zwykle dzieli wnioski na DE LEGE LATA (ocena stanu obowiązującego) i DE LEGE FERENDA (postulaty zmian). Wnioski muszą odpowiadać tezie ze wstępu.]</w:t>
      </w:r>
    </w:p>
    <w:p>
      <w:pPr>
        <w:pStyle w:val="BodyText"/>
      </w:pPr>
      <w:r>
        <w:rPr>
          <w:b/>
          <w:bCs/>
        </w:rPr>
        <w:t xml:space="preserve">De lege lata.</w:t>
      </w:r>
      <w:r>
        <w:t xml:space="preserve"> </w:t>
      </w:r>
      <w:r>
        <w:t xml:space="preserve">Analiza potwierdza tezę pracy: kodeksowe pojęcie „odpowiedniej sumy” pozostawia sądom szeroki zakres uznania, a rzeczywiste kryteria miarkowania zadośćuczynienia wynikają z orzecznictwa, nie z samej ustawy.</w:t>
      </w:r>
    </w:p>
    <w:p>
      <w:pPr>
        <w:pStyle w:val="BodyText"/>
      </w:pPr>
      <w:r>
        <w:rPr>
          <w:b/>
          <w:bCs/>
        </w:rPr>
        <w:t xml:space="preserve">De lege ferenda.</w:t>
      </w:r>
      <w:r>
        <w:t xml:space="preserve"> </w:t>
      </w:r>
      <w:r>
        <w:t xml:space="preserve">Zasadne byłoby rozważenie ustawowego wskazania przykładowego katalogu kryteriów ustalania wysokości zadośćuczynienia, co zwiększyłoby przewidywalność rozstrzygnięć przy zachowaniu sędziowskiego uznania.</w:t>
      </w:r>
    </w:p>
    <w:bookmarkEnd w:id="31"/>
    <w:bookmarkStart w:id="32" w:name="wykaz-literatury"/>
    <w:p>
      <w:pPr>
        <w:pStyle w:val="Heading1"/>
      </w:pPr>
      <w:r>
        <w:t xml:space="preserve">Wykaz literatury</w:t>
      </w:r>
    </w:p>
    <w:p>
      <w:pPr>
        <w:pStyle w:val="Anno"/>
      </w:pPr>
      <w:r>
        <w:t xml:space="preserve">[W pracy prawniczej źródła dzieli się na trzy osobne wykazy: literatura, akty prawne i orzecznictwo. Literatura — alfabetycznie według nazwisk.]</w:t>
      </w:r>
    </w:p>
    <w:p>
      <w:pPr>
        <w:pStyle w:val="Compact"/>
        <w:numPr>
          <w:ilvl w:val="0"/>
          <w:numId w:val="1001"/>
        </w:numPr>
      </w:pPr>
      <w:r>
        <w:t xml:space="preserve">Gniewek E., Machnikowski P. (red.),</w:t>
      </w:r>
      <w:r>
        <w:t xml:space="preserve"> </w:t>
      </w:r>
      <w:r>
        <w:rPr>
          <w:i/>
          <w:iCs/>
        </w:rPr>
        <w:t xml:space="preserve">Kodeks cywilny. Komentarz</w:t>
      </w:r>
      <w:r>
        <w:t xml:space="preserve">, Warszawa 2023.</w:t>
      </w:r>
    </w:p>
    <w:p>
      <w:pPr>
        <w:pStyle w:val="Compact"/>
        <w:numPr>
          <w:ilvl w:val="0"/>
          <w:numId w:val="1001"/>
        </w:numPr>
      </w:pPr>
      <w:r>
        <w:t xml:space="preserve">Radwański Z., Olejniczak A.,</w:t>
      </w:r>
      <w:r>
        <w:t xml:space="preserve"> </w:t>
      </w:r>
      <w:r>
        <w:rPr>
          <w:i/>
          <w:iCs/>
        </w:rPr>
        <w:t xml:space="preserve">Zobowiązania — część ogólna</w:t>
      </w:r>
      <w:r>
        <w:t xml:space="preserve">, Warszawa 2022.</w:t>
      </w:r>
    </w:p>
    <w:p>
      <w:pPr>
        <w:pStyle w:val="Compact"/>
        <w:numPr>
          <w:ilvl w:val="0"/>
          <w:numId w:val="1001"/>
        </w:numPr>
      </w:pPr>
      <w:r>
        <w:t xml:space="preserve">Safjan M.,</w:t>
      </w:r>
      <w:r>
        <w:t xml:space="preserve"> </w:t>
      </w:r>
      <w:r>
        <w:rPr>
          <w:i/>
          <w:iCs/>
        </w:rPr>
        <w:t xml:space="preserve">Zadośćuczynienie za krzywdę. Glosa</w:t>
      </w:r>
      <w:r>
        <w:t xml:space="preserve">, „Orzecznictwo Sądów Polskich” 2020.</w:t>
      </w:r>
    </w:p>
    <w:bookmarkEnd w:id="32"/>
    <w:bookmarkStart w:id="33" w:name="wykaz-aktów-prawnych"/>
    <w:p>
      <w:pPr>
        <w:pStyle w:val="Heading1"/>
      </w:pPr>
      <w:r>
        <w:t xml:space="preserve">Wykaz aktów prawnych</w:t>
      </w:r>
    </w:p>
    <w:p>
      <w:pPr>
        <w:pStyle w:val="Compact"/>
        <w:numPr>
          <w:ilvl w:val="0"/>
          <w:numId w:val="1002"/>
        </w:numPr>
      </w:pPr>
      <w:r>
        <w:t xml:space="preserve">Ustawa z dnia 23 kwietnia 1964 r. — Kodeks cywilny (tekst jedn. Dz.U. z 2024 r. poz. 1061 z późn. zm.).</w:t>
      </w:r>
    </w:p>
    <w:bookmarkEnd w:id="33"/>
    <w:bookmarkStart w:id="37" w:name="wykaz-orzecznictwa"/>
    <w:p>
      <w:pPr>
        <w:pStyle w:val="Heading1"/>
      </w:pPr>
      <w:r>
        <w:t xml:space="preserve">Wykaz orzecznictwa</w:t>
      </w:r>
    </w:p>
    <w:p>
      <w:pPr>
        <w:pStyle w:val="Compact"/>
        <w:numPr>
          <w:ilvl w:val="0"/>
          <w:numId w:val="1003"/>
        </w:numPr>
      </w:pPr>
      <w:r>
        <w:t xml:space="preserve">Wyrok Sądu Najwyższego z dnia 7 marca 2014 r., sygn. IV CSK 374/13.</w:t>
      </w:r>
    </w:p>
    <w:p>
      <w:pPr>
        <w:pStyle w:val="Compact"/>
        <w:numPr>
          <w:ilvl w:val="0"/>
          <w:numId w:val="1003"/>
        </w:numPr>
      </w:pPr>
      <w:r>
        <w:t xml:space="preserve">Wyrok Sądu Najwyższego z dnia 9 listopada 2007 r., sygn. V CSK 245/07.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4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5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6">
        <w:r>
          <w:rPr>
            <w:rStyle w:val="Hyperlink"/>
            <w:b/>
            <w:bCs/>
          </w:rPr>
          <w:t xml:space="preserve">www.praca-magisterska.pl</w:t>
        </w:r>
      </w:hyperlink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Ustawa z dnia 23 kwietnia 1964 r. — Kodeks cywilny (tekst jedn. Dz.U. z 2024 r. poz. 1061 z późn. zm.).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Por. wyrok Sądu Najwyższego z dnia 7 marca 2014 r., sygn. IV CSK 374/13.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smart-edu.ai" TargetMode="External" /><Relationship Type="http://schemas.openxmlformats.org/officeDocument/2006/relationships/hyperlink" Id="rId36" Target="https://www.praca-magisterska.pl" TargetMode="External" /><Relationship Type="http://schemas.openxmlformats.org/officeDocument/2006/relationships/hyperlink" Id="rId35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smart-edu.ai" TargetMode="External" /><Relationship Type="http://schemas.openxmlformats.org/officeDocument/2006/relationships/hyperlink" Id="rId36" Target="https://www.praca-magisterska.pl" TargetMode="External" /><Relationship Type="http://schemas.openxmlformats.org/officeDocument/2006/relationships/hyperlink" Id="rId35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2026-07-17T07:11:21Z</dcterms:created>
  <dcterms:modified xsi:type="dcterms:W3CDTF">2026-07-17T07:11:21Z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