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Politycznych i Studiów Międzynarodowych — Kierunek: Stosunki międzynarodowe</w:t>
      </w:r>
    </w:p>
    <w:p>
      <w:pPr>
        <w:pStyle w:val="Center"/>
      </w:pPr>
      <w:r>
        <w:rPr>
          <w:b/>
          <w:bCs/>
        </w:rPr>
        <w:t xml:space="preserve">Jakub Nowicki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Polityka sankcyjna Unii Europejskiej wobec Federacji Rosyjskiej po 2022 roku — cele, instrumenty i ograniczenia skuteczności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prof. dr. hab. ________________</w:t>
      </w:r>
    </w:p>
    <w:p>
      <w:pPr>
        <w:pStyle w:val="Center"/>
      </w:pPr>
      <w:r>
        <w:t xml:space="preserve">Warszawa,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</w:t>
      </w:r>
      <w:r>
        <w:t xml:space="preserve"> </w:t>
      </w:r>
      <w:r>
        <w:rPr>
          <w:b/>
          <w:bCs/>
        </w:rPr>
        <w:t xml:space="preserve">analitycznej pracy magisterskiej ze stosunków międzynarodowych</w:t>
      </w:r>
      <w:r>
        <w:t xml:space="preserve">: studium przypadku polityki (case study) oparte na analizie dokumentów źródłowych (akty prawne UE, dokumenty strategiczne, oświadczenia), osadzone w ramie teoretycznej i prowadzące do oceny wraz z jej kryteriami. Prace z SM wyróżnia właśnie jawna rama teoretyczna i praca na źródłach pierwotnych — nie na doniesieniach medialnych. Niebieskie adnotacje — usuń w swojej pracy. Przykładowe ustalenia są ilustracją: zweryfikuj aktualny stan faktyczny i prawny.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polityka sankcyjna Unii Europejskiej wobec Federacji Rosyjskiej po lutym 2022 roku. Celem pracy jest rekonstrukcja celów deklarowanych tej polityki, systematyzacja jej instrumentów oraz ocena skuteczności wraz z identyfikacją jej ograniczeń. W pracy postawiono tezę, że skuteczność sankcji jest warunkowana nie samą dolegliwością instrumentów, lecz spójnością koalicji sankcyjnej i zdolnością adresata do reorientacji powiązań gospodarczych. Ramę teoretyczną stanowi dorobek badań nad sankcjami międzynarodowymi oraz instytucjonalizm liberalny; materiał źródłowy obejmuje akty prawne UE (decyzje i rozporządzenia Rady), konkluzje Rady Europejskiej, dokumenty Komisji Europejskiej oraz dane statystyczne dotyczące wymiany handlowej. Analiza prowadzi do wniosku o rozbieżności między celami sygnalizacyjnymi (realizowanymi skutecznie) a celami przymuszającymi (realizowanymi w ograniczonym stopniu), której głównym mechanizmem jest przekierowanie rosyjskiego handlu do państw trzecich.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sankcje międzynarodowe, Unia Europejska, polityka zagraniczna, skuteczność sankcji, studium przypadku.</w:t>
      </w:r>
    </w:p>
    <w:p>
      <w:pPr>
        <w:pStyle w:val="Anno"/>
      </w:pPr>
      <w:r>
        <w:t xml:space="preserve">[Streszczenie pracy z SM: przedmiot, cel, TEZA, rama teoretyczna, materiał źródłowy i główny wniosek. Zwróć uwagę na rozróżnienie typów celów polityki — precyzja pojęciowa jest w SM oceniana na równi z materiałem.]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Sankcje w stosunkach międzynarodowych — rama teoretyczna</w:t>
      </w:r>
      <w:r>
        <w:t xml:space="preserve"> </w:t>
      </w:r>
    </w:p>
    <w:p>
      <w:pPr>
        <w:pStyle w:val="Note"/>
      </w:pPr>
      <w:r>
        <w:t xml:space="preserve">1.1. Pojęcie i typologia sankcji międzynarodowych</w:t>
      </w:r>
      <w:r>
        <w:t xml:space="preserve"> </w:t>
      </w:r>
    </w:p>
    <w:p>
      <w:pPr>
        <w:pStyle w:val="Note"/>
      </w:pPr>
      <w:r>
        <w:t xml:space="preserve">1.2. Cele sankcji: przymuszanie, powstrzymywanie, sygnalizowanie</w:t>
      </w:r>
      <w:r>
        <w:t xml:space="preserve"> </w:t>
      </w:r>
    </w:p>
    <w:p>
      <w:pPr>
        <w:pStyle w:val="Note"/>
      </w:pPr>
      <w:r>
        <w:t xml:space="preserve">1.3. Debata o skuteczności sankcji w literaturze przedmiotu</w:t>
      </w:r>
      <w:r>
        <w:t xml:space="preserve"> </w:t>
      </w:r>
    </w:p>
    <w:p>
      <w:pPr>
        <w:pStyle w:val="Note"/>
      </w:pPr>
      <w:r>
        <w:t xml:space="preserve">1.4. Sankcje w systemie instytucjonalnym UE</w:t>
      </w:r>
      <w:r>
        <w:t xml:space="preserve"> </w:t>
      </w:r>
    </w:p>
    <w:p>
      <w:pPr>
        <w:pStyle w:val="Note"/>
      </w:pPr>
      <w:r>
        <w:t xml:space="preserve">Rozdział 2. Metodologia badania</w:t>
      </w:r>
      <w:r>
        <w:t xml:space="preserve"> </w:t>
      </w:r>
    </w:p>
    <w:p>
      <w:pPr>
        <w:pStyle w:val="Note"/>
      </w:pPr>
      <w:r>
        <w:t xml:space="preserve">2.1. Cel, pytania badawcze i teza</w:t>
      </w:r>
      <w:r>
        <w:t xml:space="preserve"> </w:t>
      </w:r>
    </w:p>
    <w:p>
      <w:pPr>
        <w:pStyle w:val="Note"/>
      </w:pPr>
      <w:r>
        <w:t xml:space="preserve">2.2. Metoda i materiał źródłowy</w:t>
      </w:r>
      <w:r>
        <w:t xml:space="preserve"> </w:t>
      </w:r>
    </w:p>
    <w:p>
      <w:pPr>
        <w:pStyle w:val="Note"/>
      </w:pPr>
      <w:r>
        <w:t xml:space="preserve">2.3. Kryteria oceny skuteczności</w:t>
      </w:r>
      <w:r>
        <w:t xml:space="preserve"> </w:t>
      </w:r>
    </w:p>
    <w:p>
      <w:pPr>
        <w:pStyle w:val="Note"/>
      </w:pPr>
      <w:r>
        <w:t xml:space="preserve">Rozdział 3. Instrumenty polityki sankcyjnej UE po 2022 roku</w:t>
      </w:r>
      <w:r>
        <w:t xml:space="preserve"> </w:t>
      </w:r>
    </w:p>
    <w:p>
      <w:pPr>
        <w:pStyle w:val="Note"/>
      </w:pPr>
      <w:r>
        <w:t xml:space="preserve">3.1. Ewolucja pakietów sankcyjnych</w:t>
      </w:r>
      <w:r>
        <w:t xml:space="preserve"> </w:t>
      </w:r>
    </w:p>
    <w:p>
      <w:pPr>
        <w:pStyle w:val="Note"/>
      </w:pPr>
      <w:r>
        <w:t xml:space="preserve">3.2. Sankcje sektorowe, indywidualne i finansowe — systematyzacja</w:t>
      </w:r>
      <w:r>
        <w:t xml:space="preserve"> </w:t>
      </w:r>
    </w:p>
    <w:p>
      <w:pPr>
        <w:pStyle w:val="Note"/>
      </w:pPr>
      <w:r>
        <w:t xml:space="preserve">3.3. Mechanizmy wdrażania i problem obchodzenia sankcji</w:t>
      </w:r>
      <w:r>
        <w:t xml:space="preserve"> </w:t>
      </w:r>
    </w:p>
    <w:p>
      <w:pPr>
        <w:pStyle w:val="Note"/>
      </w:pPr>
      <w:r>
        <w:t xml:space="preserve">Rozdział 4. Ocena skuteczności — cele deklarowane a rezultaty</w:t>
      </w:r>
      <w:r>
        <w:t xml:space="preserve"> </w:t>
      </w:r>
    </w:p>
    <w:p>
      <w:pPr>
        <w:pStyle w:val="Note"/>
      </w:pPr>
      <w:r>
        <w:t xml:space="preserve">4.1. Wymiar sygnalizacyjny</w:t>
      </w:r>
      <w:r>
        <w:t xml:space="preserve"> </w:t>
      </w:r>
    </w:p>
    <w:p>
      <w:pPr>
        <w:pStyle w:val="Note"/>
      </w:pPr>
      <w:r>
        <w:t xml:space="preserve">4.2. Wymiar gospodarczy i przymuszający</w:t>
      </w:r>
      <w:r>
        <w:t xml:space="preserve"> </w:t>
      </w:r>
    </w:p>
    <w:p>
      <w:pPr>
        <w:pStyle w:val="Note"/>
      </w:pPr>
      <w:r>
        <w:t xml:space="preserve">4.3. Ograniczenia skuteczności — analiza mechanizmów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(źródła i opracowania) · Spis tabel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osadzenie problemu w dynamice stosunków międzynarodowych. Unikaj publicystyki: zamiast ocen („bezprecedensowa agresja”) — kategorie analityczne.]</w:t>
      </w:r>
    </w:p>
    <w:p>
      <w:pPr>
        <w:pStyle w:val="BodyText"/>
      </w:pPr>
      <w:r>
        <w:t xml:space="preserve">Sankcje stały się w ostatnich dekadach podstawowym instrumentem reagowania państw zachodnich na naruszenia prawa międzynarodowego, sytuując się między dyplomacją a użyciem siły. Pakiety sankcyjne przyjmowane przez Unię Europejską wobec Federacji Rosyjskiej po lutym 2022 roku stanowią najbardziej rozbudowany reżim sankcyjny w historii UE, a zarazem przypadek testujący granice tego instrumentu: po raz pierwszy zastosowano go na taką skalę wobec gospodarki głęboko zintegrowanej z rynkami państw sankcjonujących.</w:t>
      </w:r>
    </w:p>
    <w:p>
      <w:pPr>
        <w:pStyle w:val="Anno"/>
      </w:pPr>
      <w:r>
        <w:t xml:space="preserve">[Akapit 2 — przedmiot, cel, pytania i TEZA. W pracach z SM teza jest standardem; pytania badawcze ją operacjonalizują.]</w:t>
      </w:r>
    </w:p>
    <w:p>
      <w:pPr>
        <w:pStyle w:val="BodyText"/>
      </w:pPr>
      <w:r>
        <w:t xml:space="preserve">Celem pracy jest rekonstrukcja celów polityki sankcyjnej UE, systematyzacja jej instrumentów oraz ocena skuteczności. Pytania badawcze: jakie cele deklarowały instytucje UE, przyjmując kolejne pakiety? jakimi instrumentami je realizowano? w jakim stopniu cele zostały osiągnięte i co ograniczało skuteczność? W pracy postawiono tezę, że o skuteczności sankcji rozstrzyga nie dolegliwość instrumentów, lecz spójność koalicji sankcyjnej i zdolność adresata do reorientacji powiązań gospodarczych.</w:t>
      </w:r>
    </w:p>
    <w:bookmarkEnd w:id="22"/>
    <w:bookmarkStart w:id="25" w:name="rozdział-2.-metodologia-badania"/>
    <w:p>
      <w:pPr>
        <w:pStyle w:val="Heading1"/>
      </w:pPr>
      <w:r>
        <w:t xml:space="preserve">Rozdział 2. Metodologia badania</w:t>
      </w:r>
    </w:p>
    <w:bookmarkStart w:id="23" w:name="metoda-i-materiał-źródłowy"/>
    <w:p>
      <w:pPr>
        <w:pStyle w:val="Heading2"/>
      </w:pPr>
      <w:r>
        <w:t xml:space="preserve">2.2. Metoda i materiał źródłowy</w:t>
      </w:r>
    </w:p>
    <w:p>
      <w:pPr>
        <w:pStyle w:val="FirstParagraph"/>
      </w:pPr>
      <w:r>
        <w:t xml:space="preserve">W pracy zastosowano metodę studium przypadku z wykorzystaniem analizy dokumentów. Materiał źródłowy obejmuje trzy kategorie: (1) akty prawne — decyzje i rozporządzenia Rady UE ustanawiające i nowelizujące środki ograniczające, pozyskane z bazy EUR-Lex; (2) dokumenty polityczne — konkluzje Rady Europejskiej i oświadczenia wysokiego przedstawiciela, z których zrekonstruowano cele deklarowane; (3) dane statystyczne Eurostatu dotyczące wymiany handlowej UE–Rosja, wykorzystane do oceny wymiaru gospodarczego. Opracowania naukowe i raporty ośrodków analitycznych potraktowano jako literaturę przedmiotu, odróżnioną od materiału źródłowego.</w:t>
      </w:r>
    </w:p>
    <w:p>
      <w:pPr>
        <w:pStyle w:val="Anno"/>
      </w:pPr>
      <w:r>
        <w:t xml:space="preserve">[Rozróżnienie ŹRÓDŁO vs OPRACOWANIE to fundament warsztatu SM: dokument Rady UE jest materiałem badawczym, artykuł naukowy o sankcjach — literaturą. Odzwierciedl ten podział także w bibliografii (osobne sekcje). Media cytuj wyjątkowo, tylko dla faktów nieudokumentowanych gdzie indziej.]</w:t>
      </w:r>
    </w:p>
    <w:bookmarkEnd w:id="23"/>
    <w:bookmarkStart w:id="24" w:name="kryteria-oceny-skuteczności"/>
    <w:p>
      <w:pPr>
        <w:pStyle w:val="Heading2"/>
      </w:pPr>
      <w:r>
        <w:t xml:space="preserve">2.3. Kryteria oceny skuteczności</w:t>
      </w:r>
    </w:p>
    <w:p>
      <w:pPr>
        <w:pStyle w:val="FirstParagraph"/>
      </w:pPr>
      <w:r>
        <w:t xml:space="preserve">Skuteczność oceniano odrębnie dla trzech typów celów wyodrębnionych w rozdziale 1: celów sygnalizacyjnych (demonstracja jedności i potępienia — kryterium: spójność i tempo przyjmowania pakietów), celów przymuszających (zmiana polityki adresata — kryterium: zachowanie adresata) oraz celów osłabiających (ograniczenie zasobów — kryterium: dynamika wymiany handlowej i dochodów budżetowych adresata). Rozdzielenie kryteriów pozwala uniknąć najczęstszego błędu debat o sankcjach: oceniania wszystkich celów jedną miarą.</w:t>
      </w:r>
    </w:p>
    <w:p>
      <w:pPr>
        <w:pStyle w:val="Anno"/>
      </w:pPr>
      <w:r>
        <w:t xml:space="preserve">[Podrozdział o kryteriach oceny odróżnia analizę od publicystyki. Zanim ocenisz „czy sankcje działają”, zdefiniuj, co znaczy „działają” — osobno dla każdego typu celu.]</w:t>
      </w:r>
    </w:p>
    <w:bookmarkEnd w:id="24"/>
    <w:bookmarkEnd w:id="25"/>
    <w:bookmarkStart w:id="27" w:name="X01c5a344bd0fb2959f66fd002213d5744b096dd"/>
    <w:p>
      <w:pPr>
        <w:pStyle w:val="Heading1"/>
      </w:pPr>
      <w:r>
        <w:t xml:space="preserve">Rozdział 4. Ocena skuteczności — cele deklarowane a rezultaty</w:t>
      </w:r>
    </w:p>
    <w:bookmarkStart w:id="26" w:name="wymiar-gospodarczy-i-przymuszający"/>
    <w:p>
      <w:pPr>
        <w:pStyle w:val="Heading2"/>
      </w:pPr>
      <w:r>
        <w:t xml:space="preserve">4.2. Wymiar gospodarczy i przymuszający</w:t>
      </w:r>
    </w:p>
    <w:p>
      <w:pPr>
        <w:pStyle w:val="FirstParagraph"/>
      </w:pPr>
      <w:r>
        <w:t xml:space="preserve">Dane Eurostatu wskazują na głęboką redukcję wymiany handlowej UE–Rosja w sankcjonowanych kategoriach, przy jednoczesnym wzroście obrotów Rosji z państwami trzecimi pełniącymi funkcję pośredników. Zestawienie obu tendencji ilustruje mechanizm ograniczający skuteczność wymiaru przymuszającego: dolegliwość instrumentów jest częściowo kompensowana reorientacją powiązań, a koszty egzekwowania rosną wraz z wydłużaniem łańcuchów pośrednictwa.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Wymiar oceny</w:t>
            </w:r>
          </w:p>
        </w:tc>
        <w:tc>
          <w:tcPr/>
          <w:p>
            <w:pPr>
              <w:pStyle w:val="Compact"/>
            </w:pPr>
            <w:r>
              <w:t xml:space="preserve">Kryterium</w:t>
            </w:r>
          </w:p>
        </w:tc>
        <w:tc>
          <w:tcPr/>
          <w:p>
            <w:pPr>
              <w:pStyle w:val="Compact"/>
            </w:pPr>
            <w:r>
              <w:t xml:space="preserve">Ocena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Sygnalizacyjny</w:t>
            </w:r>
          </w:p>
        </w:tc>
        <w:tc>
          <w:tcPr/>
          <w:p>
            <w:pPr>
              <w:pStyle w:val="Compact"/>
            </w:pPr>
            <w:r>
              <w:t xml:space="preserve">spójność i tempo decyzji koalicji</w:t>
            </w:r>
          </w:p>
        </w:tc>
        <w:tc>
          <w:tcPr/>
          <w:p>
            <w:pPr>
              <w:pStyle w:val="Compact"/>
            </w:pPr>
            <w:r>
              <w:t xml:space="preserve">zrealizowany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Osłabiający</w:t>
            </w:r>
          </w:p>
        </w:tc>
        <w:tc>
          <w:tcPr/>
          <w:p>
            <w:pPr>
              <w:pStyle w:val="Compact"/>
            </w:pPr>
            <w:r>
              <w:t xml:space="preserve">dynamika wymiany i dochodów adresata</w:t>
            </w:r>
          </w:p>
        </w:tc>
        <w:tc>
          <w:tcPr/>
          <w:p>
            <w:pPr>
              <w:pStyle w:val="Compact"/>
            </w:pPr>
            <w:r>
              <w:t xml:space="preserve">zrealizowany częściowo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Przymuszający</w:t>
            </w:r>
          </w:p>
        </w:tc>
        <w:tc>
          <w:tcPr/>
          <w:p>
            <w:pPr>
              <w:pStyle w:val="Compact"/>
            </w:pPr>
            <w:r>
              <w:t xml:space="preserve">zmiana polityki adresata</w:t>
            </w:r>
          </w:p>
        </w:tc>
        <w:tc>
          <w:tcPr/>
          <w:p>
            <w:pPr>
              <w:pStyle w:val="Compact"/>
            </w:pPr>
            <w:r>
              <w:t xml:space="preserve">niezrealizowany w badanym okresie</w:t>
            </w:r>
          </w:p>
        </w:tc>
      </w:tr>
    </w:tbl>
    <w:p>
      <w:pPr>
        <w:pStyle w:val="Anno"/>
      </w:pPr>
      <w:r>
        <w:t xml:space="preserve">[Tabela ocen według kryteriów z podrozdziału 2.3 — domknięcie konstrukcji pracy. Każda ocena musi mieć pokrycie w materiale z rozdziałów 3–4, z przypisami do konkretnych dokumentów i danych.]</w:t>
      </w:r>
    </w:p>
    <w:bookmarkEnd w:id="26"/>
    <w:bookmarkEnd w:id="27"/>
    <w:bookmarkStart w:id="28" w:name="zakończenie"/>
    <w:p>
      <w:pPr>
        <w:pStyle w:val="Heading1"/>
      </w:pPr>
      <w:r>
        <w:t xml:space="preserve">Zakończenie</w:t>
      </w:r>
    </w:p>
    <w:p>
      <w:pPr>
        <w:pStyle w:val="Anno"/>
      </w:pPr>
      <w:r>
        <w:t xml:space="preserve">[Zakończenie: odpowiedź na pytania badawcze, odniesienie do tezy, wkład do debaty teoretycznej (co przypadek mówi o sankcjach jako instrumencie) i ograniczenia analizy (horyzont czasowy, dostępność danych, trwający charakter procesu).]</w:t>
      </w:r>
    </w:p>
    <w:p>
      <w:pPr>
        <w:pStyle w:val="BodyText"/>
      </w:pPr>
      <w:r>
        <w:t xml:space="preserve">Analiza potwierdza tezę pracy w odniesieniu do badanego okresu: skuteczność reżimu sankcyjnego okazała się funkcją spójności koalicji (wysokiej) i zdolności adaptacyjnych adresata (również wysokich), nie zaś samej rozpiętości instrumentów. Przypadek wpisuje się w ustalenia literatury o rozbieżności między sygnalizacyjną a przymuszającą funkcją sankcji. Ograniczeniem pracy jest trwający charakter analizowanego procesu — ocena dotyczy stanu na moment zamknięcia badania i może ulec zmianie wraz z ewolucją reżimu sankcyjnego.</w:t>
      </w:r>
    </w:p>
    <w:bookmarkEnd w:id="28"/>
    <w:bookmarkStart w:id="32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b/>
          <w:bCs/>
        </w:rPr>
        <w:t xml:space="preserve">Źródła</w:t>
      </w:r>
    </w:p>
    <w:p>
      <w:pPr>
        <w:pStyle w:val="Compact"/>
        <w:numPr>
          <w:ilvl w:val="0"/>
          <w:numId w:val="1001"/>
        </w:numPr>
      </w:pPr>
      <w:r>
        <w:t xml:space="preserve">Decyzje i rozporządzenia Rady UE dotyczące środków ograniczających w związku z działaniami Rosji (EUR-Lex — wykaz z sygnaturami i datami).</w:t>
      </w:r>
    </w:p>
    <w:p>
      <w:pPr>
        <w:pStyle w:val="Compact"/>
        <w:numPr>
          <w:ilvl w:val="0"/>
          <w:numId w:val="1001"/>
        </w:numPr>
      </w:pPr>
      <w:r>
        <w:t xml:space="preserve">Konkluzje Rady Europejskiej z lat 2022–2026 (rejestr dokumentów Rady).</w:t>
      </w:r>
    </w:p>
    <w:p>
      <w:pPr>
        <w:pStyle w:val="Compact"/>
        <w:numPr>
          <w:ilvl w:val="0"/>
          <w:numId w:val="1001"/>
        </w:numPr>
      </w:pPr>
      <w:r>
        <w:t xml:space="preserve">Eurostat, dane o wymianie handlowej UE–Rosja (Comext), stan na 2026 r.</w:t>
      </w:r>
    </w:p>
    <w:p>
      <w:pPr>
        <w:pStyle w:val="FirstParagraph"/>
      </w:pPr>
      <w:r>
        <w:rPr>
          <w:b/>
          <w:bCs/>
        </w:rPr>
        <w:t xml:space="preserve">Opracowania</w:t>
      </w:r>
    </w:p>
    <w:p>
      <w:pPr>
        <w:pStyle w:val="Compact"/>
        <w:numPr>
          <w:ilvl w:val="0"/>
          <w:numId w:val="1002"/>
        </w:numPr>
      </w:pPr>
      <w:r>
        <w:t xml:space="preserve">Baldwin D.A.,</w:t>
      </w:r>
      <w:r>
        <w:t xml:space="preserve"> </w:t>
      </w:r>
      <w:r>
        <w:rPr>
          <w:i/>
          <w:iCs/>
        </w:rPr>
        <w:t xml:space="preserve">Economic Statecraft</w:t>
      </w:r>
      <w:r>
        <w:t xml:space="preserve">, Princeton (wydanie aktualne).</w:t>
      </w:r>
    </w:p>
    <w:p>
      <w:pPr>
        <w:pStyle w:val="Compact"/>
        <w:numPr>
          <w:ilvl w:val="0"/>
          <w:numId w:val="1002"/>
        </w:numPr>
      </w:pPr>
      <w:r>
        <w:t xml:space="preserve">Hufbauer G.C., Schott J.J., Elliott K.A., Oegg B.,</w:t>
      </w:r>
      <w:r>
        <w:t xml:space="preserve"> </w:t>
      </w:r>
      <w:r>
        <w:rPr>
          <w:i/>
          <w:iCs/>
        </w:rPr>
        <w:t xml:space="preserve">Economic Sanctions Reconsidered</w:t>
      </w:r>
      <w:r>
        <w:t xml:space="preserve">, Waszyngton 2007.</w:t>
      </w:r>
    </w:p>
    <w:p>
      <w:pPr>
        <w:pStyle w:val="Compact"/>
        <w:numPr>
          <w:ilvl w:val="0"/>
          <w:numId w:val="1002"/>
        </w:numPr>
      </w:pPr>
      <w:r>
        <w:t xml:space="preserve">Łoś-Nowak T. (red.),</w:t>
      </w:r>
      <w:r>
        <w:t xml:space="preserve"> </w:t>
      </w:r>
      <w:r>
        <w:rPr>
          <w:i/>
          <w:iCs/>
        </w:rPr>
        <w:t xml:space="preserve">Współczesne stosunki międzynarodowe</w:t>
      </w:r>
      <w:r>
        <w:t xml:space="preserve">, Wrocław 2010.</w:t>
      </w:r>
    </w:p>
    <w:p>
      <w:pPr>
        <w:pStyle w:val="Anno"/>
      </w:pPr>
      <w:r>
        <w:t xml:space="preserve">[Bibliografia z podziałem na źródła i opracowania. Przy dokumentach UE podawaj pełne sygnatury (np. numer decyzji i Dz.Urz. UE) — we wzorze skrócone celowo, w pracy muszą być kompletne.]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29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0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www.praca-magisterska.pl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smart-edu.ai" TargetMode="External" /><Relationship Type="http://schemas.openxmlformats.org/officeDocument/2006/relationships/hyperlink" Id="rId31" Target="https://www.praca-magisterska.pl" TargetMode="External" /><Relationship Type="http://schemas.openxmlformats.org/officeDocument/2006/relationships/hyperlink" Id="rId30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2026-07-17T07:11:52Z</dcterms:created>
  <dcterms:modified xsi:type="dcterms:W3CDTF">2026-07-17T07:11:52Z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