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MEDYCZNY ________________</w:t>
      </w:r>
    </w:p>
    <w:p>
      <w:pPr>
        <w:pStyle w:val="Center"/>
      </w:pPr>
      <w:r>
        <w:t xml:space="preserve">Wydział Nauk o Zdrowiu — Kierunek: Zdrowie publiczne</w:t>
      </w:r>
    </w:p>
    <w:p>
      <w:pPr>
        <w:pStyle w:val="Center"/>
      </w:pPr>
      <w:r>
        <w:rPr>
          <w:b/>
          <w:bCs/>
        </w:rPr>
        <w:t xml:space="preserve">Magdalena Kamińska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Zachowania zdrowotne studentów kierunków medycznych i niemedycznych — badanie z wykorzystaniem Inwentarza Zachowań Zdrowotnych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dr hab. n. o zdr. ________________</w:t>
      </w:r>
    </w:p>
    <w:p>
      <w:pPr>
        <w:pStyle w:val="Center"/>
      </w:pPr>
      <w:r>
        <w:t xml:space="preserve">Kraków,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</w:t>
      </w:r>
      <w:r>
        <w:t xml:space="preserve"> </w:t>
      </w:r>
      <w:r>
        <w:rPr>
          <w:b/>
          <w:bCs/>
        </w:rPr>
        <w:t xml:space="preserve">empirycznej pracy magisterskiej ze zdrowia publicznego</w:t>
      </w:r>
      <w:r>
        <w:t xml:space="preserve">: badanie zachowań zdrowotnych z użyciem standaryzowanego narzędzia (IZZ), streszczenie strukturalne, piśmiennictwo w stylu Vancouver i wnioski dla promocji zdrowia. Prace ze zdrowia publicznego przyjmują konwencję nauk medycznych — zwróć uwagę na różnice względem prac „uniwersyteckich” (streszczenie, cytowanie, układ IMRAD-podobny). Niebieskie adnotacje opisują funkcję każdej części — usuń je w swojej pracy. Dane liczbowe są fikcyjne.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rPr>
          <w:b/>
          <w:bCs/>
        </w:rPr>
        <w:t xml:space="preserve">Wstęp.</w:t>
      </w:r>
      <w:r>
        <w:t xml:space="preserve"> </w:t>
      </w:r>
      <w:r>
        <w:t xml:space="preserve">Zachowania zdrowotne kształtowane w okresie studiów utrwalają się w dorosłości, a styl życia pozostaje głównym modyfikowalnym determinantem zdrowia populacji. Studenci kierunków medycznych, ze względu na treści kształcenia, powinni prezentować korzystniejsze wzorce zachowań — doniesienia na ten temat są jednak niejednoznaczne.</w:t>
      </w:r>
    </w:p>
    <w:p>
      <w:pPr>
        <w:pStyle w:val="BodyText"/>
      </w:pPr>
      <w:r>
        <w:rPr>
          <w:b/>
          <w:bCs/>
        </w:rPr>
        <w:t xml:space="preserve">Cel pracy.</w:t>
      </w:r>
      <w:r>
        <w:t xml:space="preserve"> </w:t>
      </w:r>
      <w:r>
        <w:t xml:space="preserve">Porównanie nasilenia zachowań zdrowotnych studentów kierunków medycznych i niemedycznych oraz identyfikacja obszarów wymagających interwencji z zakresu promocji zdrowia.</w:t>
      </w:r>
    </w:p>
    <w:p>
      <w:pPr>
        <w:pStyle w:val="BodyText"/>
      </w:pPr>
      <w:r>
        <w:rPr>
          <w:b/>
          <w:bCs/>
        </w:rPr>
        <w:t xml:space="preserve">Materiał i metody.</w:t>
      </w:r>
      <w:r>
        <w:t xml:space="preserve"> </w:t>
      </w:r>
      <w:r>
        <w:t xml:space="preserve">Badanie przekrojowe przeprowadzono metodą sondażu diagnostycznego wśród 186 studentów (94 kierunków medycznych, 92 niemedycznych). Narzędzia: Inwentarz Zachowań Zdrowotnych (IZZ) Z. Juczyńskiego oraz autorska metryczka. Analizę wykonano w programie JASP; różnice między grupami oceniano testem t-Studenta, przyjmując poziom istotności p &lt; 0,05.</w:t>
      </w:r>
    </w:p>
    <w:p>
      <w:pPr>
        <w:pStyle w:val="BodyText"/>
      </w:pPr>
      <w:r>
        <w:rPr>
          <w:b/>
          <w:bCs/>
        </w:rPr>
        <w:t xml:space="preserve">Wyniki.</w:t>
      </w:r>
      <w:r>
        <w:t xml:space="preserve"> </w:t>
      </w:r>
      <w:r>
        <w:t xml:space="preserve">Ogólny wskaźnik IZZ był istotnie wyższy w grupie studentów kierunków medycznych (M = 82,4; SD = 11,2) niż niemedycznych (M = 76,8; SD = 12,6; p = 0,002). Największą różnicę odnotowano w podskali zachowań profilaktycznych, nie stwierdzono natomiast istotnej różnicy w praktykach zdrowotnych. W obu grupach najniżej punktowaną kategorią były prawidłowe nawyki żywieniowe.</w:t>
      </w:r>
    </w:p>
    <w:p>
      <w:pPr>
        <w:pStyle w:val="BodyText"/>
      </w:pPr>
      <w:r>
        <w:rPr>
          <w:b/>
          <w:bCs/>
        </w:rPr>
        <w:t xml:space="preserve">Wnioski.</w:t>
      </w:r>
      <w:r>
        <w:t xml:space="preserve"> </w:t>
      </w:r>
      <w:r>
        <w:t xml:space="preserve">Kształcenie medyczne współwystępuje z korzystniejszymi zachowaniami profilaktycznymi, ale nie przekłada się na codzienne praktyki zdrowotne. Działania promocji zdrowia w środowisku akademickim powinny koncentrować się na nawykach żywieniowych, niezależnie od profilu kształcenia.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zachowania zdrowotne, studenci, promocja zdrowia, IZZ, badanie przekrojowe.</w:t>
      </w:r>
    </w:p>
    <w:p>
      <w:pPr>
        <w:pStyle w:val="Anno"/>
      </w:pPr>
      <w:r>
        <w:t xml:space="preserve">[Praca ze zdrowia publicznego używa STRESZCZENIA STRUKTURALNEGO (Wstęp / Cel / Materiał i metody / Wyniki / Wnioski) — jak artykuł w czasopiśmie medycznym. Dołącz wersję angielską (Abstract) z key words, jeśli wymaga jej uczelnia.]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Wykaz skrótów</w:t>
      </w:r>
      <w:r>
        <w:t xml:space="preserve"> 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Zachowania zdrowotne jako przedmiot zdrowia publicznego</w:t>
      </w:r>
      <w:r>
        <w:t xml:space="preserve"> </w:t>
      </w:r>
    </w:p>
    <w:p>
      <w:pPr>
        <w:pStyle w:val="Note"/>
      </w:pPr>
      <w:r>
        <w:t xml:space="preserve">1.1. Determinanty zdrowia i miejsce stylu życia</w:t>
      </w:r>
      <w:r>
        <w:t xml:space="preserve"> </w:t>
      </w:r>
    </w:p>
    <w:p>
      <w:pPr>
        <w:pStyle w:val="Note"/>
      </w:pPr>
      <w:r>
        <w:t xml:space="preserve">1.2. Pojęcie i klasyfikacje zachowań zdrowotnych</w:t>
      </w:r>
      <w:r>
        <w:t xml:space="preserve"> </w:t>
      </w:r>
    </w:p>
    <w:p>
      <w:pPr>
        <w:pStyle w:val="Note"/>
      </w:pPr>
      <w:r>
        <w:t xml:space="preserve">1.3. Zachowania zdrowotne młodych dorosłych — przegląd badań</w:t>
      </w:r>
      <w:r>
        <w:t xml:space="preserve"> </w:t>
      </w:r>
    </w:p>
    <w:p>
      <w:pPr>
        <w:pStyle w:val="Note"/>
      </w:pPr>
      <w:r>
        <w:t xml:space="preserve">1.4. Promocja zdrowia w środowisku akademickim</w:t>
      </w:r>
      <w:r>
        <w:t xml:space="preserve"> </w:t>
      </w:r>
    </w:p>
    <w:p>
      <w:pPr>
        <w:pStyle w:val="Note"/>
      </w:pPr>
      <w:r>
        <w:t xml:space="preserve">Rozdział 2. Materiał i metody</w:t>
      </w:r>
      <w:r>
        <w:t xml:space="preserve"> </w:t>
      </w:r>
    </w:p>
    <w:p>
      <w:pPr>
        <w:pStyle w:val="Note"/>
      </w:pPr>
      <w:r>
        <w:t xml:space="preserve">2.1. Cel pracy, pytania badawcze i hipotezy</w:t>
      </w:r>
      <w:r>
        <w:t xml:space="preserve"> </w:t>
      </w:r>
    </w:p>
    <w:p>
      <w:pPr>
        <w:pStyle w:val="Note"/>
      </w:pPr>
      <w:r>
        <w:t xml:space="preserve">2.2. Organizacja i przebieg badania</w:t>
      </w:r>
      <w:r>
        <w:t xml:space="preserve"> </w:t>
      </w:r>
    </w:p>
    <w:p>
      <w:pPr>
        <w:pStyle w:val="Note"/>
      </w:pPr>
      <w:r>
        <w:t xml:space="preserve">2.3. Narzędzia badawcze</w:t>
      </w:r>
      <w:r>
        <w:t xml:space="preserve"> </w:t>
      </w:r>
    </w:p>
    <w:p>
      <w:pPr>
        <w:pStyle w:val="Note"/>
      </w:pPr>
      <w:r>
        <w:t xml:space="preserve">2.4. Charakterystyka badanej grupy</w:t>
      </w:r>
      <w:r>
        <w:t xml:space="preserve"> </w:t>
      </w:r>
    </w:p>
    <w:p>
      <w:pPr>
        <w:pStyle w:val="Note"/>
      </w:pPr>
      <w:r>
        <w:t xml:space="preserve">2.5. Metody analizy statystycznej</w:t>
      </w:r>
      <w:r>
        <w:t xml:space="preserve"> </w:t>
      </w:r>
    </w:p>
    <w:p>
      <w:pPr>
        <w:pStyle w:val="Note"/>
      </w:pPr>
      <w:r>
        <w:t xml:space="preserve">Rozdział 3. Wyniki</w:t>
      </w:r>
      <w:r>
        <w:t xml:space="preserve"> </w:t>
      </w:r>
    </w:p>
    <w:p>
      <w:pPr>
        <w:pStyle w:val="Note"/>
      </w:pPr>
      <w:r>
        <w:t xml:space="preserve">3.1. Ogólny wskaźnik zachowań zdrowotnych</w:t>
      </w:r>
      <w:r>
        <w:t xml:space="preserve"> </w:t>
      </w:r>
    </w:p>
    <w:p>
      <w:pPr>
        <w:pStyle w:val="Note"/>
      </w:pPr>
      <w:r>
        <w:t xml:space="preserve">3.2. Kategorie zachowań zdrowotnych w badanych grupach</w:t>
      </w:r>
      <w:r>
        <w:t xml:space="preserve"> </w:t>
      </w:r>
    </w:p>
    <w:p>
      <w:pPr>
        <w:pStyle w:val="Note"/>
      </w:pPr>
      <w:r>
        <w:t xml:space="preserve">3.3. Zachowania zdrowotne a zmienne socjodemograficzne</w:t>
      </w:r>
      <w:r>
        <w:t xml:space="preserve"> </w:t>
      </w:r>
    </w:p>
    <w:p>
      <w:pPr>
        <w:pStyle w:val="Note"/>
      </w:pPr>
      <w:r>
        <w:t xml:space="preserve">Rozdział 4. Dyskusja</w:t>
      </w:r>
      <w:r>
        <w:t xml:space="preserve"> </w:t>
      </w:r>
    </w:p>
    <w:p>
      <w:pPr>
        <w:pStyle w:val="Note"/>
      </w:pPr>
      <w:r>
        <w:t xml:space="preserve">Wnioski</w:t>
      </w:r>
      <w:r>
        <w:t xml:space="preserve"> </w:t>
      </w:r>
    </w:p>
    <w:p>
      <w:pPr>
        <w:pStyle w:val="Note"/>
      </w:pPr>
      <w:r>
        <w:t xml:space="preserve">Piśmiennictwo · Spis tabel i rycin · Załączniki</w:t>
      </w:r>
      <w:r>
        <w:t xml:space="preserve"> 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Anno"/>
      </w:pPr>
      <w:r>
        <w:t xml:space="preserve">[Wstęp pracy ze zdrowia publicznego osadza problem w zdrowiu POPULACJI: epidemiologia, determinanty zdrowia, koszty. Przywołaj dane populacyjne (GUS, NIZP PZH-PIB, WHO) z przypisami.]</w:t>
      </w:r>
    </w:p>
    <w:p>
      <w:pPr>
        <w:pStyle w:val="BodyText"/>
      </w:pPr>
      <w:r>
        <w:t xml:space="preserve">Choroby niezakaźne odpowiadają za zdecydowaną większość zgonów w Polsce, a ich wspólnym mianownikiem są modyfikowalne czynniki stylu życia: sposób żywienia, aktywność fizyczna, palenie tytoniu i spożycie alkoholu. Zgodnie z klasyczną koncepcją pól zdrowia styl życia pozostaje tym determinantem zdrowia, na który jednostka i zdrowie publiczne mają największy wpływ. Okres studiów jest z tej perspektywy krytyczny: nawyki ukształtowane między 19. a 26. rokiem życia w znacznej mierze utrwalają się w dorosłości, a środowisko akademickie stanowi naturalne siedlisko interwencji promocji zdrowia.</w:t>
      </w:r>
    </w:p>
    <w:p>
      <w:pPr>
        <w:pStyle w:val="BodyText"/>
      </w:pPr>
      <w:r>
        <w:t xml:space="preserve">Celem pracy jest porównanie nasilenia zachowań zdrowotnych studentów kierunków medycznych i niemedycznych. Postawiono hipotezę główną, że studenci kierunków medycznych prezentują wyższy ogólny wskaźnik zachowań zdrowotnych, oraz hipotezy szczegółowe dotyczące podskal IZZ. Praca składa się z części teoretycznej (rozdział 1), metodycznej (rozdział 2), wynikowej (rozdział 3) oraz dyskusji z wnioskami dla praktyki promocji zdrowia.</w:t>
      </w:r>
    </w:p>
    <w:bookmarkEnd w:id="22"/>
    <w:bookmarkStart w:id="26" w:name="rozdział-2.-materiał-i-metody"/>
    <w:p>
      <w:pPr>
        <w:pStyle w:val="Heading1"/>
      </w:pPr>
      <w:r>
        <w:t xml:space="preserve">Rozdział 2. Materiał i metody</w:t>
      </w:r>
    </w:p>
    <w:bookmarkStart w:id="23" w:name="organizacja-i-przebieg-badania"/>
    <w:p>
      <w:pPr>
        <w:pStyle w:val="Heading2"/>
      </w:pPr>
      <w:r>
        <w:t xml:space="preserve">2.2. Organizacja i przebieg badania</w:t>
      </w:r>
    </w:p>
    <w:p>
      <w:pPr>
        <w:pStyle w:val="FirstParagraph"/>
      </w:pPr>
      <w:r>
        <w:t xml:space="preserve">Badanie przekrojowe przeprowadzono od marca do kwietnia 2026 roku metodą sondażu diagnostycznego, techniką ankiety audytoryjnej i internetowej. Udział był dobrowolny i anonimowy; badani zostali poinformowani o celu badania i możliwości odstąpienia na każdym etapie. Na realizację badania uzyskano zgodę władz wydziałów oraz pozytywną opinię uczelnianej komisji bioetycznej (nr ______).</w:t>
      </w:r>
    </w:p>
    <w:p>
      <w:pPr>
        <w:pStyle w:val="Anno"/>
      </w:pPr>
      <w:r>
        <w:t xml:space="preserve">[Element obowiązkowy w pracach z nauk o zdrowiu: dobrowolność, anonimowość, zgoda komisji bioetycznej z numerem. Badanie ankietowe wśród zdrowych dorosłych zwykle wymaga tylko opinii komisji — ale o nią wystąp i odnotuj to w pracy.]</w:t>
      </w:r>
    </w:p>
    <w:bookmarkEnd w:id="23"/>
    <w:bookmarkStart w:id="24" w:name="narzędzia-badawcze"/>
    <w:p>
      <w:pPr>
        <w:pStyle w:val="Heading2"/>
      </w:pPr>
      <w:r>
        <w:t xml:space="preserve">2.3. Narzędzia badawcze</w:t>
      </w:r>
    </w:p>
    <w:p>
      <w:pPr>
        <w:pStyle w:val="FirstParagraph"/>
      </w:pPr>
      <w:r>
        <w:t xml:space="preserve">Zachowania zdrowotne mierzono Inwentarzem Zachowań Zdrowotnych (IZZ) autorstwa Z. Juczyńskiego [5]. Narzędzie zawiera 24 stwierdzenia oceniane na pięciostopniowej skali częstości i pozwala obliczyć ogólny wskaźnik nasilenia zachowań zdrowotnych (zakres 24–120) oraz wyniki czterech kategorii: prawidłowych nawyków żywieniowych, zachowań profilaktycznych, pozytywnego nastawienia psychicznego i praktyk zdrowotnych. Rzetelność narzędzia podawana przez autora wynosi alfa = 0,85 dla całości inwentarza. Kwestionariusz uzupełniono autorską metryczką (wiek, płeć, kierunek, rok studiów, samoocena stanu zdrowia).</w:t>
      </w:r>
    </w:p>
    <w:p>
      <w:pPr>
        <w:pStyle w:val="Anno"/>
      </w:pPr>
      <w:r>
        <w:t xml:space="preserve">[Siła pracy ze zdrowia publicznego: STANDARYZOWANE, POLSKIE narzędzie z podanym źródłem i rzetelnością — zamiast autorskiej ankiety „czy odżywia się Pan/Pani zdrowo?”. IZZ wymaga zakupu licencji w Pracowni Testów Psychologicznych PTP — uwzględnij to w harmonogramie.]</w:t>
      </w:r>
    </w:p>
    <w:bookmarkEnd w:id="24"/>
    <w:bookmarkStart w:id="25" w:name="metody-analizy-statystycznej"/>
    <w:p>
      <w:pPr>
        <w:pStyle w:val="Heading2"/>
      </w:pPr>
      <w:r>
        <w:t xml:space="preserve">2.5. Metody analizy statystycznej</w:t>
      </w:r>
    </w:p>
    <w:p>
      <w:pPr>
        <w:pStyle w:val="FirstParagraph"/>
      </w:pPr>
      <w:r>
        <w:t xml:space="preserve">Analizy wykonano w programie JASP. Zmienne ilościowe opisano średnią i odchyleniem standardowym, a normalność rozkładów oceniono testem Shapiro-Wilka. Różnice między grupami weryfikowano testem t-Studenta dla prób niezależnych (przy braku normalności — testem U Manna-Whitneya), a związki między zmiennymi porządkowymi współczynnikiem rho Spearmana. Za istotne statystycznie przyjęto p &lt; 0,05.</w:t>
      </w:r>
    </w:p>
    <w:bookmarkEnd w:id="25"/>
    <w:bookmarkEnd w:id="26"/>
    <w:bookmarkStart w:id="29" w:name="rozdział-3.-wyniki"/>
    <w:p>
      <w:pPr>
        <w:pStyle w:val="Heading1"/>
      </w:pPr>
      <w:r>
        <w:t xml:space="preserve">Rozdział 3. Wyniki</w:t>
      </w:r>
    </w:p>
    <w:bookmarkStart w:id="27" w:name="ogólny-wskaźnik-zachowań-zdrowotnych"/>
    <w:p>
      <w:pPr>
        <w:pStyle w:val="Heading2"/>
      </w:pPr>
      <w:r>
        <w:t xml:space="preserve">3.1. Ogólny wskaźnik zachowań zdrowotnych</w:t>
      </w:r>
    </w:p>
    <w:p>
      <w:pPr>
        <w:pStyle w:val="FirstParagraph"/>
      </w:pPr>
      <w:r>
        <w:t xml:space="preserve">Ogólny wskaźnik IZZ w grupie studentów kierunków medycznych wyniósł średnio 82,4 (SD = 11,2), a w grupie kierunków niemedycznych 76,8 (SD = 12,6). Różnica jest istotna statystycznie (t = 3,18; p = 0,002) i odpowiada hipotezie głównej.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Kategoria IZZ</w:t>
            </w:r>
          </w:p>
        </w:tc>
        <w:tc>
          <w:tcPr/>
          <w:p>
            <w:pPr>
              <w:pStyle w:val="Compact"/>
            </w:pPr>
            <w:r>
              <w:t xml:space="preserve">Kierunki medyczne (M)</w:t>
            </w:r>
          </w:p>
        </w:tc>
        <w:tc>
          <w:tcPr/>
          <w:p>
            <w:pPr>
              <w:pStyle w:val="Compact"/>
            </w:pPr>
            <w:r>
              <w:t xml:space="preserve">Kierunki niemedyczne (M)</w:t>
            </w:r>
          </w:p>
        </w:tc>
        <w:tc>
          <w:tcPr/>
          <w:p>
            <w:pPr>
              <w:pStyle w:val="Compact"/>
            </w:pPr>
            <w:r>
              <w:t xml:space="preserve">p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Prawidłowe nawyki żywieniowe</w:t>
            </w:r>
          </w:p>
        </w:tc>
        <w:tc>
          <w:tcPr/>
          <w:p>
            <w:pPr>
              <w:pStyle w:val="Compact"/>
            </w:pPr>
            <w:r>
              <w:t xml:space="preserve">3,12</w:t>
            </w:r>
          </w:p>
        </w:tc>
        <w:tc>
          <w:tcPr/>
          <w:p>
            <w:pPr>
              <w:pStyle w:val="Compact"/>
            </w:pPr>
            <w:r>
              <w:t xml:space="preserve">2,94</w:t>
            </w:r>
          </w:p>
        </w:tc>
        <w:tc>
          <w:tcPr/>
          <w:p>
            <w:pPr>
              <w:pStyle w:val="Compact"/>
            </w:pPr>
            <w:r>
              <w:t xml:space="preserve">0,081</w:t>
            </w:r>
          </w:p>
        </w:tc>
      </w:tr>
      <w:tr>
        <w:tc>
          <w:tcPr/>
          <w:p>
            <w:pPr>
              <w:pStyle w:val="Compact"/>
            </w:pPr>
            <w:r>
              <w:t xml:space="preserve">Zachowania profilaktyczne</w:t>
            </w:r>
          </w:p>
        </w:tc>
        <w:tc>
          <w:tcPr/>
          <w:p>
            <w:pPr>
              <w:pStyle w:val="Compact"/>
            </w:pPr>
            <w:r>
              <w:t xml:space="preserve">3,58</w:t>
            </w:r>
          </w:p>
        </w:tc>
        <w:tc>
          <w:tcPr/>
          <w:p>
            <w:pPr>
              <w:pStyle w:val="Compact"/>
            </w:pPr>
            <w:r>
              <w:t xml:space="preserve">3,11</w:t>
            </w:r>
          </w:p>
        </w:tc>
        <w:tc>
          <w:tcPr/>
          <w:p>
            <w:pPr>
              <w:pStyle w:val="Compact"/>
            </w:pPr>
            <w:r>
              <w:t xml:space="preserve">&lt; 0,001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Pozytywne nastawienie psychiczne</w:t>
            </w:r>
          </w:p>
        </w:tc>
        <w:tc>
          <w:tcPr/>
          <w:p>
            <w:pPr>
              <w:pStyle w:val="Compact"/>
            </w:pPr>
            <w:r>
              <w:t xml:space="preserve">3,49</w:t>
            </w:r>
          </w:p>
        </w:tc>
        <w:tc>
          <w:tcPr/>
          <w:p>
            <w:pPr>
              <w:pStyle w:val="Compact"/>
            </w:pPr>
            <w:r>
              <w:t xml:space="preserve">3,32</w:t>
            </w:r>
          </w:p>
        </w:tc>
        <w:tc>
          <w:tcPr/>
          <w:p>
            <w:pPr>
              <w:pStyle w:val="Compact"/>
            </w:pPr>
            <w:r>
              <w:t xml:space="preserve">0,047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Praktyki zdrowotne</w:t>
            </w:r>
          </w:p>
        </w:tc>
        <w:tc>
          <w:tcPr/>
          <w:p>
            <w:pPr>
              <w:pStyle w:val="Compact"/>
            </w:pPr>
            <w:r>
              <w:t xml:space="preserve">3,24</w:t>
            </w:r>
          </w:p>
        </w:tc>
        <w:tc>
          <w:tcPr/>
          <w:p>
            <w:pPr>
              <w:pStyle w:val="Compact"/>
            </w:pPr>
            <w:r>
              <w:t xml:space="preserve">3,17</w:t>
            </w:r>
          </w:p>
        </w:tc>
        <w:tc>
          <w:tcPr/>
          <w:p>
            <w:pPr>
              <w:pStyle w:val="Compact"/>
            </w:pPr>
            <w:r>
              <w:t xml:space="preserve">0,412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Wskaźnik ogólny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82,4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76,8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0,002</w:t>
            </w:r>
          </w:p>
        </w:tc>
      </w:tr>
    </w:tbl>
    <w:p>
      <w:pPr>
        <w:pStyle w:val="Anno"/>
      </w:pPr>
      <w:r>
        <w:t xml:space="preserve">[Tabela wynikowa: średnie obu grup i wartość p dla każdej kategorii. Pod tabelą podpis ze źródłem („Źródło: badania własne”). W tekście komentuj wzorzec wyników, nie powtarzaj wszystkich liczb.]</w:t>
      </w:r>
    </w:p>
    <w:bookmarkEnd w:id="27"/>
    <w:bookmarkStart w:id="28" w:name="X7479f7fd3a6571df1da75a091fc824f62b1f8f6"/>
    <w:p>
      <w:pPr>
        <w:pStyle w:val="Heading2"/>
      </w:pPr>
      <w:r>
        <w:t xml:space="preserve">3.2. Kategorie zachowań zdrowotnych w badanych grupach</w:t>
      </w:r>
    </w:p>
    <w:p>
      <w:pPr>
        <w:pStyle w:val="FirstParagraph"/>
      </w:pPr>
      <w:r>
        <w:t xml:space="preserve">Największa różnica między grupami dotyczy zachowań profilaktycznych (badania kontrolne, stosowanie zaleceń), co można wiązać z treściami kształcenia medycznego. W praktykach zdrowotnych (sen, wypoczynek, aktywność) grupy nie różnią się istotnie, a prawidłowe nawyki żywieniowe są najniżej punktowaną kategorią w obu grupach — to one wyznaczają priorytet dla interwencji.</w:t>
      </w:r>
    </w:p>
    <w:bookmarkEnd w:id="28"/>
    <w:bookmarkEnd w:id="29"/>
    <w:bookmarkStart w:id="30" w:name="rozdział-4.-dyskusja"/>
    <w:p>
      <w:pPr>
        <w:pStyle w:val="Heading1"/>
      </w:pPr>
      <w:r>
        <w:t xml:space="preserve">Rozdział 4. Dyskusja</w:t>
      </w:r>
    </w:p>
    <w:p>
      <w:pPr>
        <w:pStyle w:val="FirstParagraph"/>
      </w:pPr>
      <w:r>
        <w:t xml:space="preserve">Uzyskane wyniki są spójne z częścią doniesień wskazujących na korzystniejsze wzorce profilaktyczne studentów kierunków medycznych, zarazem jednak potwierdzają zjawisko rozdźwięku między wiedzą a codziennym zachowaniem: przewaga grupy medycznej zanika w praktykach zdrowotnych. Z perspektywy zdrowia publicznego istotniejsze od różnic międzygrupowych jest wspólne minimum — niskie wyniki żywieniowe w obu populacjach studenckich. Ograniczenia pracy: dobór nielosowy z jednej uczelni, deklaratywność danych i przekrojowy charakter badania uniemożliwiający wnioskowanie przyczynowe.</w:t>
      </w:r>
    </w:p>
    <w:p>
      <w:pPr>
        <w:pStyle w:val="Anno"/>
      </w:pPr>
      <w:r>
        <w:t xml:space="preserve">[Dyskusja w konwencji medycznej: konfrontacja wyników z piśmiennictwem (z przypisami numerycznymi), interpretacja, ograniczenia badania. Po dyskusji następują WNIOSKI — punktowane, odpowiadające hipotezom i celowi pracy.]</w:t>
      </w:r>
    </w:p>
    <w:bookmarkEnd w:id="30"/>
    <w:bookmarkStart w:id="31" w:name="wnioski"/>
    <w:p>
      <w:pPr>
        <w:pStyle w:val="Heading1"/>
      </w:pPr>
      <w:r>
        <w:t xml:space="preserve">Wnioski</w:t>
      </w:r>
    </w:p>
    <w:p>
      <w:pPr>
        <w:pStyle w:val="Compact"/>
        <w:numPr>
          <w:ilvl w:val="0"/>
          <w:numId w:val="1001"/>
        </w:numPr>
      </w:pPr>
      <w:r>
        <w:t xml:space="preserve">Studenci kierunków medycznych prezentują istotnie wyższy ogólny wskaźnik zachowań zdrowotnych niż studenci kierunków niemedycznych, a różnica dotyczy przede wszystkim zachowań profilaktycznych.</w:t>
      </w:r>
    </w:p>
    <w:p>
      <w:pPr>
        <w:pStyle w:val="Compact"/>
        <w:numPr>
          <w:ilvl w:val="0"/>
          <w:numId w:val="1001"/>
        </w:numPr>
      </w:pPr>
      <w:r>
        <w:t xml:space="preserve">Profil kształcenia nie różnicuje codziennych praktyk zdrowotnych, co wskazuje na ograniczone przełożenie wiedzy na zachowania.</w:t>
      </w:r>
    </w:p>
    <w:p>
      <w:pPr>
        <w:pStyle w:val="Compact"/>
        <w:numPr>
          <w:ilvl w:val="0"/>
          <w:numId w:val="1001"/>
        </w:numPr>
      </w:pPr>
      <w:r>
        <w:t xml:space="preserve">Najniżej punktowaną kategorią w obu grupach są prawidłowe nawyki żywieniowe — programy promocji zdrowia w środowisku akademickim powinny traktować je priorytetowo.</w:t>
      </w:r>
    </w:p>
    <w:bookmarkEnd w:id="31"/>
    <w:bookmarkStart w:id="35" w:name="piśmiennictwo"/>
    <w:p>
      <w:pPr>
        <w:pStyle w:val="Heading1"/>
      </w:pPr>
      <w:r>
        <w:t xml:space="preserve">Piśmiennictwo</w:t>
      </w:r>
    </w:p>
    <w:p>
      <w:pPr>
        <w:pStyle w:val="Anno"/>
      </w:pPr>
      <w:r>
        <w:t xml:space="preserve">[Prace ze zdrowia publicznego stosują styl Vancouver: numeracja w kolejności cytowania, przypisy numeryczne w nawiasach kwadratowych [1]. Poniżej przykładowe pozycje — wzoruj format na wymaganiach swojej uczelni.]</w:t>
      </w:r>
    </w:p>
    <w:p>
      <w:pPr>
        <w:pStyle w:val="Compact"/>
        <w:numPr>
          <w:ilvl w:val="0"/>
          <w:numId w:val="1002"/>
        </w:numPr>
      </w:pPr>
      <w:r>
        <w:t xml:space="preserve">Wojtyniak B., Goryński P. (red.),</w:t>
      </w:r>
      <w:r>
        <w:t xml:space="preserve"> </w:t>
      </w:r>
      <w:r>
        <w:rPr>
          <w:i/>
          <w:iCs/>
        </w:rPr>
        <w:t xml:space="preserve">Sytuacja zdrowotna ludności Polski i jej uwarunkowania</w:t>
      </w:r>
      <w:r>
        <w:t xml:space="preserve">, NIZP PZH-PIB, Warszawa (aktualne wydanie).</w:t>
      </w:r>
    </w:p>
    <w:p>
      <w:pPr>
        <w:pStyle w:val="Compact"/>
        <w:numPr>
          <w:ilvl w:val="0"/>
          <w:numId w:val="1002"/>
        </w:numPr>
      </w:pPr>
      <w:r>
        <w:t xml:space="preserve">Karski J.B.,</w:t>
      </w:r>
      <w:r>
        <w:t xml:space="preserve"> </w:t>
      </w:r>
      <w:r>
        <w:rPr>
          <w:i/>
          <w:iCs/>
        </w:rPr>
        <w:t xml:space="preserve">Praktyka i teoria promocji zdrowia</w:t>
      </w:r>
      <w:r>
        <w:t xml:space="preserve">, Warszawa 2011.</w:t>
      </w:r>
    </w:p>
    <w:p>
      <w:pPr>
        <w:pStyle w:val="Compact"/>
        <w:numPr>
          <w:ilvl w:val="0"/>
          <w:numId w:val="1002"/>
        </w:numPr>
      </w:pPr>
      <w:r>
        <w:t xml:space="preserve">Woynarowska B.,</w:t>
      </w:r>
      <w:r>
        <w:t xml:space="preserve"> </w:t>
      </w:r>
      <w:r>
        <w:rPr>
          <w:i/>
          <w:iCs/>
        </w:rPr>
        <w:t xml:space="preserve">Edukacja zdrowotna</w:t>
      </w:r>
      <w:r>
        <w:t xml:space="preserve">, Warszawa 2017.</w:t>
      </w:r>
    </w:p>
    <w:p>
      <w:pPr>
        <w:pStyle w:val="Compact"/>
        <w:numPr>
          <w:ilvl w:val="0"/>
          <w:numId w:val="1002"/>
        </w:numPr>
      </w:pPr>
      <w:r>
        <w:t xml:space="preserve">Sygit M.,</w:t>
      </w:r>
      <w:r>
        <w:t xml:space="preserve"> </w:t>
      </w:r>
      <w:r>
        <w:rPr>
          <w:i/>
          <w:iCs/>
        </w:rPr>
        <w:t xml:space="preserve">Zdrowie publiczne</w:t>
      </w:r>
      <w:r>
        <w:t xml:space="preserve">, Warszawa 2017.</w:t>
      </w:r>
    </w:p>
    <w:p>
      <w:pPr>
        <w:pStyle w:val="Compact"/>
        <w:numPr>
          <w:ilvl w:val="0"/>
          <w:numId w:val="1002"/>
        </w:numPr>
      </w:pPr>
      <w:r>
        <w:t xml:space="preserve">Juczyński Z.,</w:t>
      </w:r>
      <w:r>
        <w:t xml:space="preserve"> </w:t>
      </w:r>
      <w:r>
        <w:rPr>
          <w:i/>
          <w:iCs/>
        </w:rPr>
        <w:t xml:space="preserve">Narzędzia pomiaru w promocji i psychologii zdrowia</w:t>
      </w:r>
      <w:r>
        <w:t xml:space="preserve">, Pracownia Testów Psychologicznych PTP, Warszawa 2012.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32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3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4">
        <w:r>
          <w:rPr>
            <w:rStyle w:val="Hyperlink"/>
            <w:b/>
            <w:bCs/>
          </w:rPr>
          <w:t xml:space="preserve">www.praca-magisterska.pl</w:t>
        </w:r>
      </w:hyperlink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smart-edu.ai" TargetMode="External" /><Relationship Type="http://schemas.openxmlformats.org/officeDocument/2006/relationships/hyperlink" Id="rId34" Target="https://www.praca-magisterska.pl" TargetMode="External" /><Relationship Type="http://schemas.openxmlformats.org/officeDocument/2006/relationships/hyperlink" Id="rId33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smart-edu.ai" TargetMode="External" /><Relationship Type="http://schemas.openxmlformats.org/officeDocument/2006/relationships/hyperlink" Id="rId34" Target="https://www.praca-magisterska.pl" TargetMode="External" /><Relationship Type="http://schemas.openxmlformats.org/officeDocument/2006/relationships/hyperlink" Id="rId33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2026-07-17T07:12:08Z</dcterms:created>
  <dcterms:modified xsi:type="dcterms:W3CDTF">2026-07-17T07:12:08Z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