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WZÓR HARMONOGRAMU PRACY MAGISTERSKIEJ</w:t>
      </w:r>
    </w:p>
    <w:p>
      <w:pPr>
        <w:pStyle w:val="Note"/>
      </w:pPr>
      <w:r>
        <w:rPr>
          <w:b/>
          <w:bCs/>
        </w:rPr>
        <w:t xml:space="preserve">Jak korzystać z tego wzoru.</w:t>
      </w:r>
      <w:r>
        <w:t xml:space="preserve"> </w:t>
      </w:r>
      <w:r>
        <w:t xml:space="preserve">Harmonogram rozplanowuje pisanie pracy wstecz — od terminu obrony do dziś. Poniżej przykładowy plan dla pracy empirycznej realizowanej w jednym roku akademickim; daty i zakres dostosuj do własnego seminarium. Uwzględnij czas na zbieranie danych (często dłuższe, niż się zakłada) i na poprawki promotora. Pełny poradnik: praca-magisterska.pl/poradniki/harmonogram/</w:t>
      </w:r>
    </w:p>
    <w:bookmarkStart w:id="20" w:name="harmonogram-realizacji-pracy"/>
    <w:p>
      <w:pPr>
        <w:pStyle w:val="Heading1"/>
      </w:pPr>
      <w:r>
        <w:t xml:space="preserve">Harmonogram realizacji pracy</w:t>
      </w:r>
    </w:p>
    <w:tbl>
      <w:tblPr>
        <w:tblStyle w:val="Table"/>
        <w:tblW w:type="pct" w:w="5000"/>
        <w:tblLayout w:type="fixed"/>
        <w:tblLook w:firstRow="1" w:lastRow="0" w:firstColumn="0" w:lastColumn="0" w:noHBand="0" w:noVBand="0" w:val="0020"/>
      </w:tblPr>
      <w:tblGrid>
        <w:gridCol w:w="2066"/>
        <w:gridCol w:w="3099"/>
        <w:gridCol w:w="2754"/>
      </w:tblGrid>
      <w:tr>
        <w:trPr>
          <w:tblHeader w:val="on"/>
        </w:trPr>
        <w:tc>
          <w:tcPr/>
          <w:p>
            <w:pPr>
              <w:pStyle w:val="Compact"/>
            </w:pPr>
            <w:r>
              <w:t xml:space="preserve">Etap</w:t>
            </w:r>
          </w:p>
        </w:tc>
        <w:tc>
          <w:tcPr/>
          <w:p>
            <w:pPr>
              <w:pStyle w:val="Compact"/>
            </w:pPr>
            <w:r>
              <w:t xml:space="preserve">Zadania</w:t>
            </w:r>
          </w:p>
        </w:tc>
        <w:tc>
          <w:tcPr/>
          <w:p>
            <w:pPr>
              <w:pStyle w:val="Compact"/>
              <w:jc w:val="center"/>
            </w:pPr>
            <w:r>
              <w:t xml:space="preserve">Termin</w:t>
            </w:r>
          </w:p>
        </w:tc>
      </w:tr>
      <w:tr>
        <w:tc>
          <w:tcPr/>
          <w:p>
            <w:pPr>
              <w:pStyle w:val="Compact"/>
            </w:pPr>
            <w:r>
              <w:t xml:space="preserve">1. Koncepcja</w:t>
            </w:r>
          </w:p>
        </w:tc>
        <w:tc>
          <w:tcPr/>
          <w:p>
            <w:pPr>
              <w:pStyle w:val="Compact"/>
            </w:pPr>
            <w:r>
              <w:t xml:space="preserve">Wybór tematu, przegląd wstępnej literatury, konspekt</w:t>
            </w:r>
          </w:p>
        </w:tc>
        <w:tc>
          <w:tcPr/>
          <w:p>
            <w:pPr>
              <w:pStyle w:val="Compact"/>
              <w:jc w:val="center"/>
            </w:pPr>
            <w:r>
              <w:t xml:space="preserve">październik–listopad</w:t>
            </w:r>
          </w:p>
        </w:tc>
      </w:tr>
      <w:tr>
        <w:tc>
          <w:tcPr/>
          <w:p>
            <w:pPr>
              <w:pStyle w:val="Compact"/>
            </w:pPr>
            <w:r>
              <w:t xml:space="preserve">2. Część teoretyczna</w:t>
            </w:r>
          </w:p>
        </w:tc>
        <w:tc>
          <w:tcPr/>
          <w:p>
            <w:pPr>
              <w:pStyle w:val="Compact"/>
            </w:pPr>
            <w:r>
              <w:t xml:space="preserve">Kwerenda, redakcja rozdziałów teoretycznych</w:t>
            </w:r>
          </w:p>
        </w:tc>
        <w:tc>
          <w:tcPr/>
          <w:p>
            <w:pPr>
              <w:pStyle w:val="Compact"/>
              <w:jc w:val="center"/>
            </w:pPr>
            <w:r>
              <w:t xml:space="preserve">grudzień–styczeń</w:t>
            </w:r>
          </w:p>
        </w:tc>
      </w:tr>
      <w:tr>
        <w:tc>
          <w:tcPr/>
          <w:p>
            <w:pPr>
              <w:pStyle w:val="Compact"/>
            </w:pPr>
            <w:r>
              <w:t xml:space="preserve">3. Metodologia</w:t>
            </w:r>
          </w:p>
        </w:tc>
        <w:tc>
          <w:tcPr/>
          <w:p>
            <w:pPr>
              <w:pStyle w:val="Compact"/>
            </w:pPr>
            <w:r>
              <w:t xml:space="preserve">Operacjonalizacja zmiennych, dobór i konstrukcja narzędzi</w:t>
            </w:r>
          </w:p>
        </w:tc>
        <w:tc>
          <w:tcPr/>
          <w:p>
            <w:pPr>
              <w:pStyle w:val="Compact"/>
              <w:jc w:val="center"/>
            </w:pPr>
            <w:r>
              <w:t xml:space="preserve">luty</w:t>
            </w:r>
          </w:p>
        </w:tc>
      </w:tr>
      <w:tr>
        <w:tc>
          <w:tcPr/>
          <w:p>
            <w:pPr>
              <w:pStyle w:val="Compact"/>
            </w:pPr>
            <w:r>
              <w:t xml:space="preserve">4. Badania</w:t>
            </w:r>
          </w:p>
        </w:tc>
        <w:tc>
          <w:tcPr/>
          <w:p>
            <w:pPr>
              <w:pStyle w:val="Compact"/>
            </w:pPr>
            <w:r>
              <w:t xml:space="preserve">Zebranie danych (ankieta / wywiady / eksperyment)</w:t>
            </w:r>
          </w:p>
        </w:tc>
        <w:tc>
          <w:tcPr/>
          <w:p>
            <w:pPr>
              <w:pStyle w:val="Compact"/>
              <w:jc w:val="center"/>
            </w:pPr>
            <w:r>
              <w:t xml:space="preserve">marzec–kwiecień</w:t>
            </w:r>
          </w:p>
        </w:tc>
      </w:tr>
      <w:tr>
        <w:tc>
          <w:tcPr/>
          <w:p>
            <w:pPr>
              <w:pStyle w:val="Compact"/>
            </w:pPr>
            <w:r>
              <w:t xml:space="preserve">5. Analiza wyników</w:t>
            </w:r>
          </w:p>
        </w:tc>
        <w:tc>
          <w:tcPr/>
          <w:p>
            <w:pPr>
              <w:pStyle w:val="Compact"/>
            </w:pPr>
            <w:r>
              <w:t xml:space="preserve">Obliczenia, tabele i wykresy, opis i dyskusja</w:t>
            </w:r>
          </w:p>
        </w:tc>
        <w:tc>
          <w:tcPr/>
          <w:p>
            <w:pPr>
              <w:pStyle w:val="Compact"/>
              <w:jc w:val="center"/>
            </w:pPr>
            <w:r>
              <w:t xml:space="preserve">maj</w:t>
            </w:r>
          </w:p>
        </w:tc>
      </w:tr>
      <w:tr>
        <w:tc>
          <w:tcPr/>
          <w:p>
            <w:pPr>
              <w:pStyle w:val="Compact"/>
            </w:pPr>
            <w:r>
              <w:t xml:space="preserve">6. Redakcja</w:t>
            </w:r>
          </w:p>
        </w:tc>
        <w:tc>
          <w:tcPr/>
          <w:p>
            <w:pPr>
              <w:pStyle w:val="Compact"/>
            </w:pPr>
            <w:r>
              <w:t xml:space="preserve">Złożenie całości, wstęp i zakończenie, korekta</w:t>
            </w:r>
          </w:p>
        </w:tc>
        <w:tc>
          <w:tcPr/>
          <w:p>
            <w:pPr>
              <w:pStyle w:val="Compact"/>
              <w:jc w:val="center"/>
            </w:pPr>
            <w:r>
              <w:t xml:space="preserve">czerwiec (1. poł.)</w:t>
            </w:r>
          </w:p>
        </w:tc>
      </w:tr>
      <w:tr>
        <w:tc>
          <w:tcPr/>
          <w:p>
            <w:pPr>
              <w:pStyle w:val="Compact"/>
            </w:pPr>
            <w:r>
              <w:t xml:space="preserve">7. Finalizacja</w:t>
            </w:r>
          </w:p>
        </w:tc>
        <w:tc>
          <w:tcPr/>
          <w:p>
            <w:pPr>
              <w:pStyle w:val="Compact"/>
            </w:pPr>
            <w:r>
              <w:t xml:space="preserve">Poprawki promotora, antyplagiat, złożenie pracy</w:t>
            </w:r>
          </w:p>
        </w:tc>
        <w:tc>
          <w:tcPr/>
          <w:p>
            <w:pPr>
              <w:pStyle w:val="Compact"/>
              <w:jc w:val="center"/>
            </w:pPr>
            <w:r>
              <w:t xml:space="preserve">czerwiec (2. poł.)</w:t>
            </w:r>
          </w:p>
        </w:tc>
      </w:tr>
    </w:tbl>
    <w:p>
      <w:pPr>
        <w:pStyle w:val="Anno"/>
      </w:pPr>
      <w:r>
        <w:t xml:space="preserve">[Etap zbierania danych planuj z zapasem — rekrutacja respondentów spełniających kryteria potrafi trwać tygodnie. Po każdym etapie zostaw bufor na informację zwrotną promotora (zwykle 1–2 tygodnie na rozdział). Jeśli badanie wymaga zgody komisji etycznej, dolicz czas na jej uzyskanie przed etapem 4.]</w:t>
      </w:r>
    </w:p>
    <w:bookmarkEnd w:id="20"/>
    <w:bookmarkStart w:id="24" w:name="X9d82e85d5a27f48acbd008e7978d1b8865331ba"/>
    <w:p>
      <w:pPr>
        <w:pStyle w:val="Heading1"/>
      </w:pPr>
      <w:r>
        <w:t xml:space="preserve">Kamienie milowe (do uzgodnienia z promotorem)</w:t>
      </w:r>
    </w:p>
    <w:p>
      <w:pPr>
        <w:pStyle w:val="Compact"/>
        <w:numPr>
          <w:ilvl w:val="0"/>
          <w:numId w:val="1001"/>
        </w:numPr>
      </w:pPr>
      <w:r>
        <w:t xml:space="preserve">[data] — zatwierdzony konspekt</w:t>
      </w:r>
    </w:p>
    <w:p>
      <w:pPr>
        <w:pStyle w:val="Compact"/>
        <w:numPr>
          <w:ilvl w:val="0"/>
          <w:numId w:val="1001"/>
        </w:numPr>
      </w:pPr>
      <w:r>
        <w:t xml:space="preserve">[data] — gotowa część teoretyczna</w:t>
      </w:r>
    </w:p>
    <w:p>
      <w:pPr>
        <w:pStyle w:val="Compact"/>
        <w:numPr>
          <w:ilvl w:val="0"/>
          <w:numId w:val="1001"/>
        </w:numPr>
      </w:pPr>
      <w:r>
        <w:t xml:space="preserve">[data] — zebrane dane</w:t>
      </w:r>
    </w:p>
    <w:p>
      <w:pPr>
        <w:pStyle w:val="Compact"/>
        <w:numPr>
          <w:ilvl w:val="0"/>
          <w:numId w:val="1001"/>
        </w:numPr>
      </w:pPr>
      <w:r>
        <w:t xml:space="preserve">[data] — kompletny szkic pracy</w:t>
      </w:r>
    </w:p>
    <w:p>
      <w:pPr>
        <w:pStyle w:val="Compact"/>
        <w:numPr>
          <w:ilvl w:val="0"/>
          <w:numId w:val="1001"/>
        </w:numPr>
      </w:pPr>
      <w:r>
        <w:t xml:space="preserve">[data] — złożenie pracy w systemie APD</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21">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22">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23">
        <w:r>
          <w:rPr>
            <w:rStyle w:val="Hyperlink"/>
            <w:b/>
            <w:bCs/>
          </w:rPr>
          <w:t xml:space="preserve">www.praca-magisterska.pl</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mart-edu.ai" TargetMode="External" /><Relationship Type="http://schemas.openxmlformats.org/officeDocument/2006/relationships/hyperlink" Id="rId23" Target="https://www.praca-magisterska.pl" TargetMode="External" /><Relationship Type="http://schemas.openxmlformats.org/officeDocument/2006/relationships/hyperlink" Id="rId22"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21" Target="https://smart-edu.ai" TargetMode="External" /><Relationship Type="http://schemas.openxmlformats.org/officeDocument/2006/relationships/hyperlink" Id="rId23" Target="https://www.praca-magisterska.pl" TargetMode="External" /><Relationship Type="http://schemas.openxmlformats.org/officeDocument/2006/relationships/hyperlink" Id="rId22"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2026-07-17T07:12:59Z</dcterms:created>
  <dcterms:modified xsi:type="dcterms:W3CDTF">2026-07-17T07:12:59Z</dcterms:modified>
</cp:coreProperties>
</file>

<file path=docProps/custom.xml><?xml version="1.0" encoding="utf-8"?>
<Properties xmlns="http://schemas.openxmlformats.org/officeDocument/2006/custom-properties" xmlns:vt="http://schemas.openxmlformats.org/officeDocument/2006/docPropsVTypes"/>
</file>