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WZÓR ROZDZIAŁU METODOLOGICZNEGO PRACY MAGISTERSKIEJ</w:t>
      </w:r>
    </w:p>
    <w:p>
      <w:pPr>
        <w:pStyle w:val="Center"/>
      </w:pPr>
      <w:r>
        <w:rPr>
          <w:i/>
          <w:iCs/>
        </w:rPr>
        <w:t xml:space="preserve">Przykładowy temat: „Wpływ pracy zdalnej na poziom satysfakcji zawodowej pracowników sektora IT w Polsce”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Zachowaj układ podrozdziałów i proporcje, a treść podmień na własny temat. Dane liczbowe, nazwy narzędzi i wyniki w tym dokumencie pełnią rolę ilustracji — w swojej pracy podstaw wartości z własnego badania. Pełny poradnik: praca-magisterska.pl/poradniki/metodologia/rozdzial-metodologiczny/</w:t>
      </w:r>
    </w:p>
    <w:bookmarkStart w:id="31" w:name="rozdział-2.-metodologia-badań-własnych"/>
    <w:p>
      <w:pPr>
        <w:pStyle w:val="Heading1"/>
      </w:pPr>
      <w:r>
        <w:t xml:space="preserve">Rozdział 2. Metodologia badań własnych</w:t>
      </w:r>
    </w:p>
    <w:bookmarkStart w:id="20" w:name="przedmiot-i-cel-badań"/>
    <w:p>
      <w:pPr>
        <w:pStyle w:val="Heading2"/>
      </w:pPr>
      <w:r>
        <w:t xml:space="preserve">2.1. Przedmiot i cel badań</w:t>
      </w:r>
    </w:p>
    <w:p>
      <w:pPr>
        <w:pStyle w:val="FirstParagraph"/>
      </w:pPr>
      <w:r>
        <w:t xml:space="preserve">Przedmiotem badań podjętych w pracy jest satysfakcja zawodowa pracowników sektora technologii informacyjnych w Polsce, rozpatrywana w kontekście modelu organizacji pracy: stacjonarnego, hybrydowego i w pełni zdalnego. Wybór przedmiotu badań wynika z trwałej zmiany na rynku pracy po roku 2020, kiedy praca zdalna stała się jednym ze standardowych modeli zatrudnienia w branży IT.</w:t>
      </w:r>
    </w:p>
    <w:p>
      <w:pPr>
        <w:pStyle w:val="BodyText"/>
      </w:pPr>
      <w:r>
        <w:t xml:space="preserve">Celem głównym pracy jest zbadanie zależności między modelem pracy a poziomem satysfakcji zawodowej pracowników sektora IT. Cel główny rozpisano na trzy cele szczegółowe:</w:t>
      </w:r>
    </w:p>
    <w:p>
      <w:pPr>
        <w:pStyle w:val="Compact"/>
        <w:numPr>
          <w:ilvl w:val="0"/>
          <w:numId w:val="1001"/>
        </w:numPr>
      </w:pPr>
      <w:r>
        <w:t xml:space="preserve">określenie poziomu satysfakcji zawodowej pracowników IT w modelu stacjonarnym, hybrydowym i zdalnym,</w:t>
      </w:r>
    </w:p>
    <w:p>
      <w:pPr>
        <w:pStyle w:val="Compact"/>
        <w:numPr>
          <w:ilvl w:val="0"/>
          <w:numId w:val="1001"/>
        </w:numPr>
      </w:pPr>
      <w:r>
        <w:t xml:space="preserve">identyfikacja aspektów satysfakcji, które najsilniej różnicują porównywane grupy,</w:t>
      </w:r>
    </w:p>
    <w:p>
      <w:pPr>
        <w:pStyle w:val="Compact"/>
        <w:numPr>
          <w:ilvl w:val="0"/>
          <w:numId w:val="1001"/>
        </w:numPr>
      </w:pPr>
      <w:r>
        <w:t xml:space="preserve">sformułowanie rekomendacji dla pracodawców w zakresie organizacji modelu pracy.</w:t>
      </w:r>
    </w:p>
    <w:bookmarkEnd w:id="20"/>
    <w:bookmarkStart w:id="21" w:name="X39ad5b1ae6047a8b8c0e95cd2ce3b7f19abd882"/>
    <w:p>
      <w:pPr>
        <w:pStyle w:val="Heading2"/>
      </w:pPr>
      <w:r>
        <w:t xml:space="preserve">2.2. Problem badawczy, pytania badawcze i hipotezy</w:t>
      </w:r>
    </w:p>
    <w:p>
      <w:pPr>
        <w:pStyle w:val="FirstParagraph"/>
      </w:pPr>
      <w:r>
        <w:t xml:space="preserve">Główny problem badawczy zawiera się w pytaniu: w jakim stopniu model pracy różnicuje poziom satysfakcji zawodowej pracowników sektora IT w Polsce? Z problemu głównego wyprowadzono pytania szczegółowe dotyczące ogólnego poziomu satysfakcji, różnic między grupami, wymiarów najsilniej różnicujących oraz roli zmiennych socjodemograficznych.</w:t>
      </w:r>
    </w:p>
    <w:p>
      <w:pPr>
        <w:pStyle w:val="BodyText"/>
      </w:pPr>
      <w:r>
        <w:t xml:space="preserve">W badaniach przyjęto następujące hipotezy: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H1.</w:t>
      </w:r>
      <w:r>
        <w:t xml:space="preserve"> </w:t>
      </w:r>
      <w:r>
        <w:t xml:space="preserve">Pracownicy w modelu hybrydowym charakteryzują się wyższym poziomem ogólnej satysfakcji zawodowej niż pracownicy modelu stacjonarnego i w pełni zdalnego.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H2.</w:t>
      </w:r>
      <w:r>
        <w:t xml:space="preserve"> </w:t>
      </w:r>
      <w:r>
        <w:t xml:space="preserve">Model pracy najsilniej różnicuje wymiar satysfakcji związany z komunikacją wewnętrzną i relacjami ze współpracownikami.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H3.</w:t>
      </w:r>
      <w:r>
        <w:t xml:space="preserve"> </w:t>
      </w:r>
      <w:r>
        <w:t xml:space="preserve">Zależność między modelem pracy a satysfakcją jest silniejsza w grupie o stażu do 5 lat niż w grupie o dłuższym stażu.</w:t>
      </w:r>
    </w:p>
    <w:p>
      <w:pPr>
        <w:pStyle w:val="Anno"/>
      </w:pPr>
      <w:r>
        <w:t xml:space="preserve">[Hipotezy wynikają wprost z pytań badawczych i muszą być rozstrzygalne przyjętą metodą. Każda zostanie zweryfikowana w rozdziale wynikowym — nie stawiaj hipotez „na zapas”.]</w:t>
      </w:r>
    </w:p>
    <w:bookmarkEnd w:id="21"/>
    <w:bookmarkStart w:id="22" w:name="zmienne-i-ich-operacjonalizacja"/>
    <w:p>
      <w:pPr>
        <w:pStyle w:val="Heading2"/>
      </w:pPr>
      <w:r>
        <w:t xml:space="preserve">2.3. Zmienne i ich operacjonalizacja</w:t>
      </w:r>
    </w:p>
    <w:p>
      <w:pPr>
        <w:pStyle w:val="FirstParagraph"/>
      </w:pPr>
      <w:r>
        <w:t xml:space="preserve">Zmienną niezależną jest model pracy, przyjmujący trzy wartości: stacjonarny (do 1 dnia zdalnie w tygodniu), hybrydowy (2–3 dni), w pełni zdalny (4–5 dni). Zmienną zależną jest satysfakcja zawodowa, zdefiniowana za P. Spectorem jako postawa wobec pracy. Operacyjnie mierzono ją wynikiem ogólnym i wynikami dziewięciu podskal kwestionariusza JSS. Zmienne kontrolne to płeć, wiek, staż pracy i wielkość organizacji.</w:t>
      </w:r>
    </w:p>
    <w:bookmarkEnd w:id="22"/>
    <w:bookmarkStart w:id="23" w:name="metody-techniki-i-narzędzia-badawcze"/>
    <w:p>
      <w:pPr>
        <w:pStyle w:val="Heading2"/>
      </w:pPr>
      <w:r>
        <w:t xml:space="preserve">2.4. Metody, techniki i narzędzia badawcze</w:t>
      </w:r>
    </w:p>
    <w:p>
      <w:pPr>
        <w:pStyle w:val="FirstParagraph"/>
      </w:pPr>
      <w:r>
        <w:t xml:space="preserve">Zastosowano metodę sondażu diagnostycznego, technikę ankiety i narzędzie w postaci kwestionariusza. Do pomiaru satysfakcji wykorzystano polską adaptację Skali Satysfakcji z Pracy (Job Satisfaction Survey, JSS) P. Spectora. Narzędzie składa się z 36 stwierdzeń ocenianych na sześciostopniowej skali i mierzy dziewięć aspektów satysfakcji. Rzetelność w badanej próbie oszacowano współczynnikiem alfa Cronbacha, który dla wyniku ogólnego wyniósł 0,87. Kwestionariusz uzupełniono o pytania autorskie i metryczkę; kompletne narzędzie liczyło 47 pozycji.</w:t>
      </w:r>
    </w:p>
    <w:p>
      <w:pPr>
        <w:pStyle w:val="Anno"/>
      </w:pPr>
      <w:r>
        <w:t xml:space="preserve">[Zawsze podawaj rzetelność użytej skali (α Cronbacha) i jej źródło/adaptację. Autorskie pytania stosuj do faktów i metryczki, nie do pomiaru samego konstruktu.]</w:t>
      </w:r>
    </w:p>
    <w:bookmarkEnd w:id="23"/>
    <w:bookmarkStart w:id="24" w:name="dobór-i-charakterystyka-próby-badawczej"/>
    <w:p>
      <w:pPr>
        <w:pStyle w:val="Heading2"/>
      </w:pPr>
      <w:r>
        <w:t xml:space="preserve">2.5. Dobór i charakterystyka próby badawczej</w:t>
      </w:r>
    </w:p>
    <w:p>
      <w:pPr>
        <w:pStyle w:val="FirstParagraph"/>
      </w:pPr>
      <w:r>
        <w:t xml:space="preserve">Populację docelową stanowią osoby zatrudnione w sektorze IT w Polsce. Próbę dobrano metodą celową, uzupełnioną techniką kuli śnieżnej. Kryteria włączenia: zatrudnienie w IT od co najmniej 12 miesięcy, wiek 23–55 lat, praca na terenie Polski. W badaniu wzięło udział 247 osób (34% kobiet, 66% mężczyzn; średnia wieku 31,4 roku).</w:t>
      </w:r>
    </w:p>
    <w:p>
      <w:pPr>
        <w:pStyle w:val="BodyText"/>
      </w:pPr>
      <w:r>
        <w:t xml:space="preserve">Tabela 2.1. Struktura próby według stażu pracy w sektorze IT (N = 247)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Staż pracy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%</w:t>
            </w:r>
          </w:p>
        </w:tc>
      </w:tr>
      <w:tr>
        <w:tc>
          <w:tcPr/>
          <w:p>
            <w:pPr>
              <w:pStyle w:val="Compact"/>
            </w:pPr>
            <w:r>
              <w:t xml:space="preserve">1–5 lat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45,3</w:t>
            </w:r>
          </w:p>
        </w:tc>
      </w:tr>
      <w:tr>
        <w:tc>
          <w:tcPr/>
          <w:p>
            <w:pPr>
              <w:pStyle w:val="Compact"/>
            </w:pPr>
            <w:r>
              <w:t xml:space="preserve">6–10 lat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34,8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 lat i więcej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19,8</w:t>
            </w:r>
          </w:p>
        </w:tc>
      </w:tr>
    </w:tbl>
    <w:p>
      <w:pPr>
        <w:pStyle w:val="BodyText"/>
      </w:pPr>
      <w:r>
        <w:rPr>
          <w:i/>
          <w:iCs/>
        </w:rPr>
        <w:t xml:space="preserve">Źródło: badania własne.</w:t>
      </w:r>
    </w:p>
    <w:bookmarkEnd w:id="24"/>
    <w:bookmarkStart w:id="25" w:name="procedura-i-organizacja-badań"/>
    <w:p>
      <w:pPr>
        <w:pStyle w:val="Heading2"/>
      </w:pPr>
      <w:r>
        <w:t xml:space="preserve">2.6. Procedura i organizacja badań</w:t>
      </w:r>
    </w:p>
    <w:p>
      <w:pPr>
        <w:pStyle w:val="FirstParagraph"/>
      </w:pPr>
      <w:r>
        <w:t xml:space="preserve">Badanie przeprowadzono w formie elektronicznej (CAWI) w okresie od 3 lutego do 14 marca 2026 roku. Uczestników poinformowano o celu badania, dobrowolności udziału, anonimowości i przewidywanym czasie wypełniania; przystąpienie do badania było równoznaczne z wyrażeniem świadomej zgody. Dane zbierano w postaci zanonimizowanej.</w:t>
      </w:r>
    </w:p>
    <w:bookmarkEnd w:id="25"/>
    <w:bookmarkStart w:id="26" w:name="metody-analizy-danych"/>
    <w:p>
      <w:pPr>
        <w:pStyle w:val="Heading2"/>
      </w:pPr>
      <w:r>
        <w:t xml:space="preserve">2.7. Metody analizy danych</w:t>
      </w:r>
    </w:p>
    <w:p>
      <w:pPr>
        <w:pStyle w:val="FirstParagraph"/>
      </w:pPr>
      <w:r>
        <w:t xml:space="preserve">Analizy wykonano w programie IBM SPSS Statistics 29. Obliczono statystyki opisowe i zweryfikowano normalność rozkładów testem Shapiro–Wilka. Różnice między trzema grupami testowano jednoczynnikową analizą wariancji (ANOVA) z testami post hoc Tukeya, a przy rozkładach odbiegających od normalnego — testem Kruskala–Wallisa. Związek zmiennych socjodemograficznych z satysfakcją oszacowano regresją wielokrotną. Próg istotności przyjęto na poziomie p &lt; 0,05.</w:t>
      </w:r>
    </w:p>
    <w:bookmarkEnd w:id="26"/>
    <w:bookmarkStart w:id="30" w:name="ograniczenia-badania-i-kwestie-etyczne"/>
    <w:p>
      <w:pPr>
        <w:pStyle w:val="Heading2"/>
      </w:pPr>
      <w:r>
        <w:t xml:space="preserve">2.8. Ograniczenia badania i kwestie etyczne</w:t>
      </w:r>
    </w:p>
    <w:p>
      <w:pPr>
        <w:pStyle w:val="FirstParagraph"/>
      </w:pPr>
      <w:r>
        <w:t xml:space="preserve">Dobór celowy próby uniemożliwia uogólnianie wyników na całą populację. Pomiar oparty na samoopisie naraża wyniki na zniekształcenia związane z aprobatą społeczną. Przekrojowy charakter badania pozwala stwierdzić współwystępowanie zmiennych, lecz nie ich związek przyczynowy. Badanie było anonimowe i dobrowolne, nie gromadziło danych wrażliwych w rozumieniu RODO, a jego projekt zaakceptował promotor; zgodnie z regulacjami uczelni nie wymagało opinii komisji etycznej.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27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28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29">
        <w:r>
          <w:rPr>
            <w:rStyle w:val="Hyperlink"/>
            <w:b/>
            <w:bCs/>
          </w:rPr>
          <w:t xml:space="preserve">www.praca-magisterska.pl</w:t>
        </w:r>
      </w:hyperlink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s://smart-edu.ai" TargetMode="External" /><Relationship Type="http://schemas.openxmlformats.org/officeDocument/2006/relationships/hyperlink" Id="rId29" Target="https://www.praca-magisterska.pl" TargetMode="External" /><Relationship Type="http://schemas.openxmlformats.org/officeDocument/2006/relationships/hyperlink" Id="rId28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smart-edu.ai" TargetMode="External" /><Relationship Type="http://schemas.openxmlformats.org/officeDocument/2006/relationships/hyperlink" Id="rId29" Target="https://www.praca-magisterska.pl" TargetMode="External" /><Relationship Type="http://schemas.openxmlformats.org/officeDocument/2006/relationships/hyperlink" Id="rId28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2026-07-17T07:12:32Z</dcterms:created>
  <dcterms:modified xsi:type="dcterms:W3CDTF">2026-07-17T07:12:32Z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